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6B9560E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6B9560E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38C5B5D" w:rsidR="00333FAA" w:rsidRPr="005E3A10" w:rsidRDefault="00886BBD" w:rsidP="00A53B04">
            <w:pPr>
              <w:rPr>
                <w:rFonts w:cs="Arial"/>
                <w:szCs w:val="24"/>
              </w:rPr>
            </w:pPr>
            <w:r>
              <w:rPr>
                <w:rFonts w:cs="Arial"/>
                <w:szCs w:val="24"/>
              </w:rPr>
              <w:t>16</w:t>
            </w:r>
            <w:r w:rsidRPr="00886BBD">
              <w:rPr>
                <w:rFonts w:cs="Arial"/>
                <w:szCs w:val="24"/>
                <w:vertAlign w:val="superscript"/>
              </w:rPr>
              <w:t>th</w:t>
            </w:r>
            <w:r>
              <w:rPr>
                <w:rFonts w:cs="Arial"/>
                <w:szCs w:val="24"/>
              </w:rPr>
              <w:t xml:space="preserve"> March 2023</w:t>
            </w:r>
          </w:p>
        </w:tc>
      </w:tr>
      <w:tr w:rsidR="00333FAA" w14:paraId="3CC97725" w14:textId="77777777" w:rsidTr="6B9560E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E44F54B" w14:textId="77777777" w:rsidR="00333FAA" w:rsidRDefault="00E26B97" w:rsidP="00A53B04">
            <w:r>
              <w:t>UK Shared Prosperity Fund – Harrow’s Direct Allocation Proposed Spend</w:t>
            </w:r>
          </w:p>
          <w:p w14:paraId="6D8FB2C1" w14:textId="29A9483C" w:rsidR="00955199" w:rsidRPr="005E3A10" w:rsidRDefault="00955199" w:rsidP="00A53B04">
            <w:pPr>
              <w:rPr>
                <w:rFonts w:cs="Arial"/>
                <w:szCs w:val="24"/>
              </w:rPr>
            </w:pPr>
          </w:p>
        </w:tc>
      </w:tr>
      <w:tr w:rsidR="00333FAA" w14:paraId="32449166" w14:textId="77777777" w:rsidTr="6B9560E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0899BC39" w14:textId="568BBB82" w:rsidR="00614DCA" w:rsidRPr="000A46E7" w:rsidRDefault="001C7E35" w:rsidP="00614DCA">
            <w:pPr>
              <w:pStyle w:val="Infotext"/>
              <w:rPr>
                <w:rFonts w:cs="Arial"/>
                <w:sz w:val="24"/>
                <w:szCs w:val="24"/>
              </w:rPr>
            </w:pPr>
            <w:r w:rsidRPr="005E3A10">
              <w:rPr>
                <w:rFonts w:cs="Arial"/>
                <w:sz w:val="24"/>
                <w:szCs w:val="24"/>
              </w:rPr>
              <w:t>Yes</w:t>
            </w:r>
            <w:r w:rsidR="00955199">
              <w:rPr>
                <w:rFonts w:cs="Arial"/>
                <w:sz w:val="24"/>
                <w:szCs w:val="24"/>
              </w:rPr>
              <w:t xml:space="preserve"> - r</w:t>
            </w:r>
            <w:r w:rsidR="00614DCA" w:rsidRPr="000A46E7">
              <w:rPr>
                <w:rFonts w:cs="Arial"/>
                <w:color w:val="000000" w:themeColor="text1"/>
                <w:sz w:val="24"/>
                <w:szCs w:val="24"/>
                <w:lang w:val="en-US"/>
              </w:rPr>
              <w:t xml:space="preserve">elates to more than £500,000 and covers more than </w:t>
            </w:r>
            <w:r w:rsidR="00420111">
              <w:rPr>
                <w:rFonts w:cs="Arial"/>
                <w:color w:val="000000" w:themeColor="text1"/>
                <w:sz w:val="24"/>
                <w:szCs w:val="24"/>
                <w:lang w:val="en-US"/>
              </w:rPr>
              <w:t>two</w:t>
            </w:r>
            <w:r w:rsidR="00614DCA" w:rsidRPr="000A46E7">
              <w:rPr>
                <w:rFonts w:cs="Arial"/>
                <w:color w:val="000000" w:themeColor="text1"/>
                <w:sz w:val="24"/>
                <w:szCs w:val="24"/>
                <w:lang w:val="en-US"/>
              </w:rPr>
              <w:t xml:space="preserve"> ward</w:t>
            </w:r>
            <w:r w:rsidR="00420111">
              <w:rPr>
                <w:rFonts w:cs="Arial"/>
                <w:color w:val="000000" w:themeColor="text1"/>
                <w:sz w:val="24"/>
                <w:szCs w:val="24"/>
                <w:lang w:val="en-US"/>
              </w:rPr>
              <w:t>s</w:t>
            </w:r>
          </w:p>
          <w:p w14:paraId="3EADF2B3" w14:textId="77777777" w:rsidR="00333FAA" w:rsidRPr="005E3A10" w:rsidRDefault="00333FAA" w:rsidP="00A53B04">
            <w:pPr>
              <w:rPr>
                <w:rFonts w:cs="Arial"/>
                <w:szCs w:val="24"/>
              </w:rPr>
            </w:pPr>
          </w:p>
        </w:tc>
      </w:tr>
      <w:tr w:rsidR="001C7E35" w14:paraId="79E96200" w14:textId="77777777" w:rsidTr="6B9560E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FF1242C" w14:textId="4AC3D9D9" w:rsidR="001C7E35" w:rsidRDefault="00CB6A3C" w:rsidP="00D835CF">
            <w:pPr>
              <w:pStyle w:val="Infotext"/>
              <w:rPr>
                <w:rFonts w:cs="Arial"/>
                <w:sz w:val="24"/>
                <w:szCs w:val="24"/>
              </w:rPr>
            </w:pPr>
            <w:r w:rsidRPr="00117C94">
              <w:rPr>
                <w:rFonts w:cs="Arial"/>
                <w:sz w:val="24"/>
                <w:szCs w:val="24"/>
              </w:rPr>
              <w:t>Dipti Patel</w:t>
            </w:r>
            <w:r w:rsidR="00955199">
              <w:rPr>
                <w:rFonts w:cs="Arial"/>
                <w:sz w:val="24"/>
                <w:szCs w:val="24"/>
              </w:rPr>
              <w:t xml:space="preserve"> - </w:t>
            </w:r>
            <w:r w:rsidRPr="00117C94">
              <w:rPr>
                <w:rFonts w:cs="Arial"/>
                <w:sz w:val="24"/>
                <w:szCs w:val="24"/>
              </w:rPr>
              <w:t xml:space="preserve">Corporate Director </w:t>
            </w:r>
            <w:r w:rsidR="00C07574">
              <w:rPr>
                <w:rFonts w:cs="Arial"/>
                <w:sz w:val="24"/>
                <w:szCs w:val="24"/>
              </w:rPr>
              <w:t xml:space="preserve">of </w:t>
            </w:r>
            <w:r w:rsidRPr="00117C94">
              <w:rPr>
                <w:rFonts w:cs="Arial"/>
                <w:sz w:val="24"/>
                <w:szCs w:val="24"/>
              </w:rPr>
              <w:t>Place</w:t>
            </w:r>
            <w:r w:rsidR="00955199">
              <w:rPr>
                <w:rFonts w:cs="Arial"/>
                <w:sz w:val="24"/>
                <w:szCs w:val="24"/>
              </w:rPr>
              <w:t>;</w:t>
            </w:r>
          </w:p>
          <w:p w14:paraId="25D63120" w14:textId="16F93080" w:rsidR="001C1B4C" w:rsidRDefault="001C1B4C" w:rsidP="00D835CF">
            <w:pPr>
              <w:pStyle w:val="Infotext"/>
              <w:rPr>
                <w:rFonts w:cs="Arial"/>
                <w:sz w:val="24"/>
                <w:szCs w:val="24"/>
              </w:rPr>
            </w:pPr>
            <w:r>
              <w:rPr>
                <w:rFonts w:cs="Arial"/>
                <w:sz w:val="24"/>
                <w:szCs w:val="24"/>
              </w:rPr>
              <w:t>Mark Billington</w:t>
            </w:r>
            <w:r w:rsidR="00955199">
              <w:rPr>
                <w:rFonts w:cs="Arial"/>
                <w:sz w:val="24"/>
                <w:szCs w:val="24"/>
              </w:rPr>
              <w:t xml:space="preserve"> - </w:t>
            </w:r>
            <w:r w:rsidR="00DA2F9B" w:rsidRPr="00DA2F9B">
              <w:rPr>
                <w:rFonts w:cs="Arial"/>
                <w:sz w:val="24"/>
                <w:szCs w:val="24"/>
              </w:rPr>
              <w:t>Director of Inclusive Economy</w:t>
            </w:r>
            <w:r w:rsidR="00955199">
              <w:rPr>
                <w:rFonts w:cs="Arial"/>
                <w:sz w:val="24"/>
                <w:szCs w:val="24"/>
              </w:rPr>
              <w:t>,</w:t>
            </w:r>
            <w:r w:rsidR="00DA2F9B" w:rsidRPr="00DA2F9B">
              <w:rPr>
                <w:rFonts w:cs="Arial"/>
                <w:sz w:val="24"/>
                <w:szCs w:val="24"/>
              </w:rPr>
              <w:t xml:space="preserve"> Leisure &amp; Culture</w:t>
            </w:r>
          </w:p>
          <w:p w14:paraId="3798BF23" w14:textId="7052716C" w:rsidR="00DA2F9B" w:rsidRPr="005E3A10" w:rsidRDefault="00DA2F9B" w:rsidP="00D835CF">
            <w:pPr>
              <w:pStyle w:val="Infotext"/>
              <w:rPr>
                <w:rFonts w:cs="Arial"/>
                <w:sz w:val="24"/>
                <w:szCs w:val="24"/>
              </w:rPr>
            </w:pPr>
          </w:p>
        </w:tc>
      </w:tr>
      <w:tr w:rsidR="001C7E35" w14:paraId="3B6FD8B1" w14:textId="77777777" w:rsidTr="6B9560E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95991E0" w14:textId="77777777" w:rsidR="00D32A2B" w:rsidRPr="009B0956" w:rsidRDefault="00D32A2B" w:rsidP="00D32A2B">
            <w:pPr>
              <w:pStyle w:val="Infotext"/>
              <w:rPr>
                <w:rFonts w:cs="Arial"/>
                <w:sz w:val="24"/>
                <w:szCs w:val="24"/>
              </w:rPr>
            </w:pPr>
            <w:r w:rsidRPr="009B0956">
              <w:rPr>
                <w:rFonts w:cs="Arial"/>
                <w:sz w:val="24"/>
                <w:szCs w:val="24"/>
              </w:rPr>
              <w:t>Cllr Norman Stevenson – Portfolio Holder for Business, Employment &amp; Property</w:t>
            </w:r>
          </w:p>
          <w:p w14:paraId="7C3E416C" w14:textId="2AC04200" w:rsidR="00D32A2B" w:rsidRDefault="00D32A2B" w:rsidP="00D32A2B">
            <w:pPr>
              <w:pStyle w:val="Infotext"/>
              <w:rPr>
                <w:rFonts w:cs="Arial"/>
                <w:sz w:val="24"/>
                <w:szCs w:val="24"/>
              </w:rPr>
            </w:pPr>
            <w:r w:rsidRPr="009B0956">
              <w:rPr>
                <w:rFonts w:cs="Arial"/>
                <w:sz w:val="24"/>
                <w:szCs w:val="24"/>
              </w:rPr>
              <w:t>Cllr Jean Lammiman</w:t>
            </w:r>
            <w:r w:rsidR="00955199">
              <w:rPr>
                <w:rFonts w:cs="Arial"/>
                <w:sz w:val="24"/>
                <w:szCs w:val="24"/>
              </w:rPr>
              <w:t xml:space="preserve"> - </w:t>
            </w:r>
            <w:r w:rsidRPr="009B0956">
              <w:rPr>
                <w:rFonts w:cs="Arial"/>
                <w:sz w:val="24"/>
                <w:szCs w:val="24"/>
              </w:rPr>
              <w:t>Portfolio Holder Community and Culture</w:t>
            </w:r>
          </w:p>
          <w:p w14:paraId="7B60C098" w14:textId="748B735F" w:rsidR="00D32A2B" w:rsidRPr="009B0956" w:rsidRDefault="00D32A2B" w:rsidP="00D32A2B">
            <w:pPr>
              <w:pStyle w:val="Infotext"/>
              <w:rPr>
                <w:rFonts w:cs="Arial"/>
                <w:sz w:val="24"/>
                <w:szCs w:val="24"/>
              </w:rPr>
            </w:pPr>
            <w:r>
              <w:rPr>
                <w:rFonts w:cs="Arial"/>
                <w:sz w:val="24"/>
                <w:szCs w:val="24"/>
              </w:rPr>
              <w:t>Cllr Anjana Patel</w:t>
            </w:r>
            <w:r w:rsidR="00955199">
              <w:rPr>
                <w:rFonts w:cs="Arial"/>
                <w:sz w:val="24"/>
                <w:szCs w:val="24"/>
              </w:rPr>
              <w:t xml:space="preserve"> - </w:t>
            </w:r>
            <w:r>
              <w:rPr>
                <w:rFonts w:cs="Arial"/>
                <w:sz w:val="24"/>
                <w:szCs w:val="24"/>
              </w:rPr>
              <w:t xml:space="preserve">Portfolio Holder for </w:t>
            </w:r>
            <w:r w:rsidRPr="00660D2B">
              <w:rPr>
                <w:rFonts w:cs="Arial"/>
                <w:sz w:val="24"/>
                <w:szCs w:val="24"/>
              </w:rPr>
              <w:t>Environment and Community Safety</w:t>
            </w:r>
          </w:p>
          <w:p w14:paraId="49C98ADE" w14:textId="48E3C123" w:rsidR="00D32A2B" w:rsidRDefault="00D32A2B" w:rsidP="00D32A2B">
            <w:pPr>
              <w:pStyle w:val="Infotext"/>
              <w:rPr>
                <w:rFonts w:cs="Arial"/>
                <w:sz w:val="24"/>
                <w:szCs w:val="24"/>
              </w:rPr>
            </w:pPr>
            <w:r w:rsidRPr="6B9560E0">
              <w:rPr>
                <w:rFonts w:cs="Arial"/>
                <w:sz w:val="24"/>
                <w:szCs w:val="24"/>
              </w:rPr>
              <w:t>Cllr David Ashton</w:t>
            </w:r>
            <w:r w:rsidR="00955199">
              <w:rPr>
                <w:rFonts w:cs="Arial"/>
                <w:sz w:val="24"/>
                <w:szCs w:val="24"/>
              </w:rPr>
              <w:t xml:space="preserve"> - </w:t>
            </w:r>
            <w:r w:rsidRPr="6B9560E0">
              <w:rPr>
                <w:rFonts w:cs="Arial"/>
                <w:sz w:val="24"/>
                <w:szCs w:val="24"/>
              </w:rPr>
              <w:t>Portfolio Holder Finance and Human Resources</w:t>
            </w:r>
          </w:p>
          <w:p w14:paraId="39A9A01A" w14:textId="280876DB" w:rsidR="001C7E35" w:rsidRPr="005E3A10" w:rsidRDefault="001C7E35" w:rsidP="00D835CF">
            <w:pPr>
              <w:pStyle w:val="Infotext"/>
              <w:rPr>
                <w:rFonts w:cs="Arial"/>
                <w:color w:val="FF0000"/>
                <w:sz w:val="24"/>
                <w:szCs w:val="24"/>
              </w:rPr>
            </w:pPr>
          </w:p>
        </w:tc>
      </w:tr>
      <w:tr w:rsidR="001C7E35" w14:paraId="3CF618C8" w14:textId="77777777" w:rsidTr="6B9560E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49911EAE"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6B9560E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3AA6C295" w:rsidR="00714BEE" w:rsidRPr="005E3A10" w:rsidRDefault="001C7E35" w:rsidP="00D32A2B">
            <w:pPr>
              <w:pStyle w:val="Infotext"/>
              <w:rPr>
                <w:rFonts w:cs="Arial"/>
                <w:szCs w:val="24"/>
              </w:rPr>
            </w:pPr>
            <w:r w:rsidRPr="005E3A10">
              <w:rPr>
                <w:rFonts w:cs="Arial"/>
                <w:sz w:val="24"/>
                <w:szCs w:val="24"/>
              </w:rPr>
              <w:t>Yes</w:t>
            </w:r>
          </w:p>
        </w:tc>
      </w:tr>
      <w:tr w:rsidR="001C7E35" w14:paraId="7E5497E1" w14:textId="77777777" w:rsidTr="6B9560E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84762C5" w:rsidR="00307F76" w:rsidRPr="00955199" w:rsidRDefault="00090A07" w:rsidP="00D835CF">
            <w:pPr>
              <w:rPr>
                <w:rFonts w:cs="Arial"/>
                <w:bCs/>
                <w:szCs w:val="24"/>
              </w:rPr>
            </w:pPr>
            <w:r w:rsidRPr="00955199">
              <w:rPr>
                <w:rFonts w:cs="Arial"/>
                <w:bCs/>
                <w:szCs w:val="24"/>
              </w:rPr>
              <w:t xml:space="preserve">All </w:t>
            </w:r>
            <w:r w:rsidR="00420111">
              <w:rPr>
                <w:rFonts w:cs="Arial"/>
                <w:bCs/>
                <w:szCs w:val="24"/>
              </w:rPr>
              <w:t>w</w:t>
            </w:r>
            <w:r w:rsidRPr="00955199">
              <w:rPr>
                <w:rFonts w:cs="Arial"/>
                <w:bCs/>
                <w:szCs w:val="24"/>
              </w:rPr>
              <w:t>ards</w:t>
            </w:r>
          </w:p>
        </w:tc>
      </w:tr>
      <w:tr w:rsidR="001C7E35" w14:paraId="5F1445BF" w14:textId="77777777" w:rsidTr="6B9560E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060B1182" w14:textId="53810F1A" w:rsidR="001C7E35" w:rsidRDefault="00420111" w:rsidP="00A844A0">
            <w:pPr>
              <w:pStyle w:val="Infotext"/>
              <w:rPr>
                <w:sz w:val="24"/>
                <w:szCs w:val="24"/>
              </w:rPr>
            </w:pPr>
            <w:r>
              <w:rPr>
                <w:sz w:val="24"/>
                <w:szCs w:val="24"/>
              </w:rPr>
              <w:t xml:space="preserve">Appendix </w:t>
            </w:r>
            <w:r w:rsidR="00A73A27">
              <w:rPr>
                <w:sz w:val="24"/>
                <w:szCs w:val="24"/>
              </w:rPr>
              <w:t>A</w:t>
            </w:r>
            <w:r>
              <w:rPr>
                <w:sz w:val="24"/>
                <w:szCs w:val="24"/>
              </w:rPr>
              <w:t xml:space="preserve"> – </w:t>
            </w:r>
            <w:r w:rsidR="00D57481" w:rsidRPr="00D57481">
              <w:rPr>
                <w:sz w:val="24"/>
                <w:szCs w:val="24"/>
              </w:rPr>
              <w:t>E</w:t>
            </w:r>
            <w:r>
              <w:rPr>
                <w:sz w:val="24"/>
                <w:szCs w:val="24"/>
              </w:rPr>
              <w:t>qualities Impact Assessment (E</w:t>
            </w:r>
            <w:r w:rsidR="00D57481" w:rsidRPr="00D57481">
              <w:rPr>
                <w:sz w:val="24"/>
                <w:szCs w:val="24"/>
              </w:rPr>
              <w:t>qIA</w:t>
            </w:r>
            <w:r>
              <w:rPr>
                <w:sz w:val="24"/>
                <w:szCs w:val="24"/>
              </w:rPr>
              <w:t>)</w:t>
            </w:r>
            <w:r w:rsidR="00A844A0">
              <w:rPr>
                <w:sz w:val="24"/>
                <w:szCs w:val="24"/>
              </w:rPr>
              <w:t xml:space="preserve">: </w:t>
            </w:r>
            <w:r w:rsidR="00A844A0" w:rsidRPr="00A844A0">
              <w:rPr>
                <w:sz w:val="24"/>
                <w:szCs w:val="24"/>
              </w:rPr>
              <w:t>UK Shared Prosperity Fund – Harrow’s Direct Allocation Proposed Spend</w:t>
            </w:r>
          </w:p>
          <w:p w14:paraId="6668D730" w14:textId="57BE3BC1" w:rsidR="005F08E2" w:rsidRPr="00D57481" w:rsidRDefault="005F08E2" w:rsidP="00A844A0">
            <w:pPr>
              <w:pStyle w:val="Infotext"/>
              <w:rPr>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6B9560E0">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6B9560E0">
        <w:trPr>
          <w:tblHeader/>
        </w:trPr>
        <w:tc>
          <w:tcPr>
            <w:tcW w:w="8525" w:type="dxa"/>
          </w:tcPr>
          <w:p w14:paraId="7308A539" w14:textId="40530C4A" w:rsidR="00B56EE0" w:rsidRPr="00250936" w:rsidRDefault="00B56EE0" w:rsidP="00B56EE0">
            <w:r w:rsidRPr="00250936">
              <w:t xml:space="preserve">This report sets out </w:t>
            </w:r>
            <w:r>
              <w:t xml:space="preserve">the financial and legal implications of the Council entering into an agreement with the GLA regarding the </w:t>
            </w:r>
            <w:r w:rsidR="00EF48B0">
              <w:t xml:space="preserve">Council’s direct allocation of the </w:t>
            </w:r>
            <w:r>
              <w:t xml:space="preserve">UK Shared Prosperity Fund (UKSPF). </w:t>
            </w:r>
          </w:p>
          <w:p w14:paraId="02274D72" w14:textId="77777777" w:rsidR="001C7E35" w:rsidRDefault="00605A4C" w:rsidP="00E13BEF">
            <w:pPr>
              <w:pStyle w:val="Heading3"/>
              <w:spacing w:before="240"/>
            </w:pPr>
            <w:r>
              <w:t>Recommen</w:t>
            </w:r>
            <w:r w:rsidR="001C7E35" w:rsidRPr="00605A4C">
              <w:t xml:space="preserve">dations: </w:t>
            </w:r>
          </w:p>
          <w:p w14:paraId="7E963C4D" w14:textId="3882516C" w:rsidR="00FD2CBD" w:rsidRPr="00420111" w:rsidRDefault="00FD2CBD" w:rsidP="00FD2CBD">
            <w:r w:rsidRPr="00420111">
              <w:t>Cabinet is requested to:</w:t>
            </w:r>
          </w:p>
          <w:p w14:paraId="7B45B8C3" w14:textId="77777777" w:rsidR="00955199" w:rsidRPr="00420111" w:rsidRDefault="00955199" w:rsidP="00FD2CBD"/>
          <w:p w14:paraId="64945A12" w14:textId="3CCE1B02" w:rsidR="00FD2CBD" w:rsidRPr="00420111" w:rsidRDefault="00FD2CBD" w:rsidP="00955199">
            <w:pPr>
              <w:pStyle w:val="ListParagraph"/>
              <w:numPr>
                <w:ilvl w:val="0"/>
                <w:numId w:val="8"/>
              </w:numPr>
            </w:pPr>
            <w:r w:rsidRPr="00420111">
              <w:t>Agree to enter into a Grant Agreement with the GLA and secure £1.4m direct funding from the Department of Levelling Up’s UK Shared Prosperity Fund (UKSPF) and deliver projects to improve Harrow as a place, and to support residents and businesses.</w:t>
            </w:r>
          </w:p>
          <w:p w14:paraId="49EEF378" w14:textId="77777777" w:rsidR="00955199" w:rsidRPr="00420111" w:rsidRDefault="00955199" w:rsidP="00955199">
            <w:pPr>
              <w:pStyle w:val="ListParagraph"/>
              <w:ind w:left="360"/>
            </w:pPr>
          </w:p>
          <w:p w14:paraId="2A50475F" w14:textId="242663AB" w:rsidR="00FD2CBD" w:rsidRPr="00420111" w:rsidRDefault="1D487B84" w:rsidP="6B9560E0">
            <w:pPr>
              <w:pStyle w:val="ListParagraph"/>
              <w:numPr>
                <w:ilvl w:val="0"/>
                <w:numId w:val="8"/>
              </w:numPr>
              <w:rPr>
                <w:rFonts w:cs="Arial"/>
              </w:rPr>
            </w:pPr>
            <w:r w:rsidRPr="00420111">
              <w:t xml:space="preserve">Delegate authority to the Corporate Director </w:t>
            </w:r>
            <w:r w:rsidR="167CE967" w:rsidRPr="00420111">
              <w:t>following</w:t>
            </w:r>
            <w:r w:rsidRPr="00420111">
              <w:t xml:space="preserve"> consultation with the </w:t>
            </w:r>
            <w:r w:rsidRPr="00420111">
              <w:rPr>
                <w:rFonts w:cs="Arial"/>
              </w:rPr>
              <w:t xml:space="preserve">Portfolio Holder for Business, Employment &amp; </w:t>
            </w:r>
            <w:r w:rsidR="00955199" w:rsidRPr="00420111">
              <w:rPr>
                <w:rFonts w:cs="Arial"/>
              </w:rPr>
              <w:t>Property, Portfolio</w:t>
            </w:r>
            <w:r w:rsidRPr="00420111">
              <w:rPr>
                <w:rFonts w:cs="Arial"/>
              </w:rPr>
              <w:t xml:space="preserve"> Holder for Community and Culture</w:t>
            </w:r>
            <w:r w:rsidR="002514E3" w:rsidRPr="00420111">
              <w:rPr>
                <w:rFonts w:cs="Arial"/>
              </w:rPr>
              <w:t xml:space="preserve">, </w:t>
            </w:r>
            <w:r w:rsidR="002514E3" w:rsidRPr="00420111">
              <w:rPr>
                <w:rFonts w:cs="Arial"/>
                <w:szCs w:val="24"/>
              </w:rPr>
              <w:t>Portfolio Holder for Environment and Community Safety</w:t>
            </w:r>
            <w:r w:rsidR="00CB380A" w:rsidRPr="00420111">
              <w:rPr>
                <w:rFonts w:cs="Arial"/>
                <w:szCs w:val="24"/>
              </w:rPr>
              <w:t xml:space="preserve"> and Portfolio Holder </w:t>
            </w:r>
            <w:r w:rsidR="00955199" w:rsidRPr="00420111">
              <w:rPr>
                <w:rFonts w:cs="Arial"/>
                <w:szCs w:val="24"/>
              </w:rPr>
              <w:t xml:space="preserve">for </w:t>
            </w:r>
            <w:r w:rsidR="00CB380A" w:rsidRPr="00420111">
              <w:rPr>
                <w:rFonts w:cs="Arial"/>
                <w:szCs w:val="24"/>
              </w:rPr>
              <w:t>Finance and Human Resources</w:t>
            </w:r>
            <w:r w:rsidR="00955199" w:rsidRPr="00420111">
              <w:rPr>
                <w:rFonts w:cs="Arial"/>
                <w:szCs w:val="24"/>
              </w:rPr>
              <w:t xml:space="preserve"> </w:t>
            </w:r>
            <w:r w:rsidR="00955199" w:rsidRPr="00420111">
              <w:t>to sign the agreement</w:t>
            </w:r>
            <w:r w:rsidRPr="00420111">
              <w:rPr>
                <w:rFonts w:cs="Arial"/>
              </w:rPr>
              <w:t>.</w:t>
            </w:r>
          </w:p>
          <w:p w14:paraId="130A1D51" w14:textId="77777777" w:rsidR="00591016" w:rsidRDefault="00591016" w:rsidP="00605A4C"/>
          <w:p w14:paraId="061365F9" w14:textId="07721714" w:rsidR="001C7E35" w:rsidRDefault="00E13BEF" w:rsidP="00E13BEF">
            <w:pPr>
              <w:pStyle w:val="Heading3"/>
              <w:ind w:left="0" w:firstLine="0"/>
              <w:jc w:val="left"/>
            </w:pPr>
            <w:r>
              <w:t>Reason</w:t>
            </w:r>
            <w:r w:rsidR="00955199">
              <w:t>: (</w:t>
            </w:r>
            <w:r>
              <w:t>f</w:t>
            </w:r>
            <w:r w:rsidR="001C7E35" w:rsidRPr="00605A4C">
              <w:t>or recommendation</w:t>
            </w:r>
            <w:r w:rsidR="00714BEE" w:rsidRPr="00605A4C">
              <w:t>s</w:t>
            </w:r>
            <w:r w:rsidR="001C7E35" w:rsidRPr="00605A4C">
              <w:t>)</w:t>
            </w:r>
            <w:r w:rsidR="00F91AE4">
              <w:t xml:space="preserve"> </w:t>
            </w:r>
          </w:p>
          <w:p w14:paraId="5D79B2DD" w14:textId="06636005" w:rsidR="00717A5C" w:rsidRPr="00717A5C" w:rsidRDefault="00717A5C" w:rsidP="00717A5C">
            <w:r>
              <w:t>A</w:t>
            </w:r>
            <w:r w:rsidRPr="00BF5D7D">
              <w:t xml:space="preserve">s the Lead Authority to manage </w:t>
            </w:r>
            <w:r>
              <w:t xml:space="preserve">UKSPF </w:t>
            </w:r>
            <w:r w:rsidRPr="00BF5D7D">
              <w:t>in London</w:t>
            </w:r>
            <w:r>
              <w:t xml:space="preserve">, the GLA requires each London Borough to sign a funding agreement to receive the Borough’s direct allocation of </w:t>
            </w:r>
            <w:r w:rsidRPr="0079507A">
              <w:t>UKSPF</w:t>
            </w:r>
            <w:r>
              <w:t xml:space="preserve"> funding. </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363935AE" w:rsidR="001C7E35" w:rsidRDefault="001C7E35" w:rsidP="00F06E4E">
      <w:pPr>
        <w:pStyle w:val="Heading3"/>
        <w:spacing w:before="240"/>
      </w:pPr>
      <w:r>
        <w:t>Introduct</w:t>
      </w:r>
      <w:r w:rsidR="007578A0">
        <w:t>ion</w:t>
      </w:r>
    </w:p>
    <w:p w14:paraId="6AB70B8C" w14:textId="318D15BD" w:rsidR="00417D9D" w:rsidRDefault="007578A0" w:rsidP="007578A0">
      <w:r>
        <w:t xml:space="preserve">The GLA has allocated a total of £1.4m funding to Harrow Council to deliver projects under the UKSPF themes of </w:t>
      </w:r>
      <w:r w:rsidR="00995AD0">
        <w:t xml:space="preserve">(i) </w:t>
      </w:r>
      <w:r w:rsidRPr="004C283F">
        <w:t xml:space="preserve">Communities and Place </w:t>
      </w:r>
      <w:r>
        <w:t xml:space="preserve">and </w:t>
      </w:r>
      <w:r w:rsidR="00995AD0">
        <w:t xml:space="preserve">(ii) </w:t>
      </w:r>
      <w:r w:rsidRPr="004C283F">
        <w:t>Supporting Local Businesses</w:t>
      </w:r>
      <w:r>
        <w:t xml:space="preserve">. Following consultation with officers and Portfolio Holders, a range of projects have been developed to be funded by the UKSPF to support town centres, parks and open space, </w:t>
      </w:r>
      <w:r w:rsidR="00BF1084">
        <w:t xml:space="preserve">and </w:t>
      </w:r>
      <w:r>
        <w:t xml:space="preserve">culture and help residents with the </w:t>
      </w:r>
      <w:r w:rsidR="00420111">
        <w:t>cost-of-living</w:t>
      </w:r>
      <w:r>
        <w:t xml:space="preserve"> crisis. </w:t>
      </w:r>
    </w:p>
    <w:p w14:paraId="21C83D46" w14:textId="77777777" w:rsidR="00417D9D" w:rsidRDefault="00417D9D" w:rsidP="007578A0"/>
    <w:p w14:paraId="5C8C698F" w14:textId="0B42EE9A" w:rsidR="00417D9D" w:rsidRDefault="007578A0" w:rsidP="007578A0">
      <w:pPr>
        <w:rPr>
          <w:rFonts w:cs="Arial"/>
          <w:szCs w:val="24"/>
        </w:rPr>
      </w:pPr>
      <w:r w:rsidRPr="0095195D">
        <w:rPr>
          <w:rFonts w:cs="Arial"/>
          <w:szCs w:val="24"/>
        </w:rPr>
        <w:t xml:space="preserve">These projects have been identified as they address the Council’s Corporate Policies, of A Council that Puts Residents First; A Borough that is Clean and Safe; A Place where those in Need are Supported. </w:t>
      </w:r>
    </w:p>
    <w:p w14:paraId="388A6BF1" w14:textId="77777777" w:rsidR="00417D9D" w:rsidRDefault="00417D9D" w:rsidP="007578A0">
      <w:pPr>
        <w:rPr>
          <w:rFonts w:cs="Arial"/>
          <w:szCs w:val="24"/>
        </w:rPr>
      </w:pPr>
    </w:p>
    <w:p w14:paraId="49F1BB9F" w14:textId="56375327" w:rsidR="007578A0" w:rsidRPr="0095195D" w:rsidRDefault="007578A0" w:rsidP="007578A0">
      <w:pPr>
        <w:rPr>
          <w:rFonts w:cs="Arial"/>
          <w:szCs w:val="24"/>
        </w:rPr>
      </w:pPr>
      <w:r w:rsidRPr="0095195D">
        <w:rPr>
          <w:rFonts w:cs="Arial"/>
          <w:szCs w:val="24"/>
        </w:rPr>
        <w:t>Specifically, the projects under Communities and Place address the objective to develop more community facilities and amenities that residents want, so Harrow becomes the place they want to spend their time and money, creating a thriving local economy and supporting our local businesses</w:t>
      </w:r>
      <w:r w:rsidR="00D3099C">
        <w:rPr>
          <w:rFonts w:cs="Arial"/>
          <w:szCs w:val="24"/>
        </w:rPr>
        <w:t>. T</w:t>
      </w:r>
      <w:r w:rsidRPr="0095195D">
        <w:rPr>
          <w:rFonts w:cs="Arial"/>
          <w:szCs w:val="24"/>
        </w:rPr>
        <w:t xml:space="preserve">he </w:t>
      </w:r>
      <w:r w:rsidR="00806061">
        <w:rPr>
          <w:rFonts w:cs="Arial"/>
          <w:szCs w:val="24"/>
        </w:rPr>
        <w:t>E</w:t>
      </w:r>
      <w:r w:rsidRPr="0095195D">
        <w:rPr>
          <w:rFonts w:cs="Arial"/>
          <w:szCs w:val="24"/>
        </w:rPr>
        <w:t xml:space="preserve">nergy </w:t>
      </w:r>
      <w:r w:rsidR="00806061">
        <w:rPr>
          <w:rFonts w:cs="Arial"/>
          <w:szCs w:val="24"/>
        </w:rPr>
        <w:t>A</w:t>
      </w:r>
      <w:r w:rsidRPr="0095195D">
        <w:rPr>
          <w:rFonts w:cs="Arial"/>
          <w:szCs w:val="24"/>
        </w:rPr>
        <w:t xml:space="preserve">dvice and </w:t>
      </w:r>
      <w:r w:rsidR="00806061">
        <w:rPr>
          <w:rFonts w:cs="Arial"/>
          <w:szCs w:val="24"/>
        </w:rPr>
        <w:t>S</w:t>
      </w:r>
      <w:r w:rsidRPr="0095195D">
        <w:rPr>
          <w:rFonts w:cs="Arial"/>
          <w:szCs w:val="24"/>
        </w:rPr>
        <w:t xml:space="preserve">upport for </w:t>
      </w:r>
      <w:r w:rsidR="00420111">
        <w:rPr>
          <w:rFonts w:cs="Arial"/>
          <w:szCs w:val="24"/>
        </w:rPr>
        <w:t>C</w:t>
      </w:r>
      <w:r w:rsidR="00420111" w:rsidRPr="0095195D">
        <w:rPr>
          <w:rFonts w:cs="Arial"/>
          <w:szCs w:val="24"/>
        </w:rPr>
        <w:t>ost-of-Living</w:t>
      </w:r>
      <w:r w:rsidRPr="0095195D">
        <w:rPr>
          <w:rFonts w:cs="Arial"/>
          <w:szCs w:val="24"/>
        </w:rPr>
        <w:t xml:space="preserve"> project supports the “A Place where those in Need are Supported” Priority.</w:t>
      </w:r>
    </w:p>
    <w:p w14:paraId="1644BEBD" w14:textId="77777777" w:rsidR="007578A0" w:rsidRDefault="007578A0" w:rsidP="007578A0"/>
    <w:p w14:paraId="571ECD3B" w14:textId="77777777" w:rsidR="003019C0" w:rsidRPr="007578A0" w:rsidRDefault="003019C0" w:rsidP="007578A0"/>
    <w:p w14:paraId="0A078380" w14:textId="77777777" w:rsidR="00AD1E77" w:rsidRDefault="001C7E35" w:rsidP="00A1211C">
      <w:pPr>
        <w:pStyle w:val="Heading3"/>
        <w:spacing w:before="240"/>
        <w:ind w:left="0" w:firstLine="0"/>
        <w:jc w:val="left"/>
      </w:pPr>
      <w:r>
        <w:lastRenderedPageBreak/>
        <w:t xml:space="preserve">Options considered  </w:t>
      </w:r>
    </w:p>
    <w:p w14:paraId="66DB03E6" w14:textId="77777777" w:rsidR="00F90027" w:rsidRDefault="00F90027" w:rsidP="00F90027">
      <w:r>
        <w:t xml:space="preserve">Option A To enter into a Grant Agreement with the GLA </w:t>
      </w:r>
    </w:p>
    <w:p w14:paraId="7B318131" w14:textId="77777777" w:rsidR="00F90027" w:rsidRDefault="00F90027" w:rsidP="00F90027">
      <w:r>
        <w:t>This would secure £1.4m direct funding to Harrow Council to deliver projects to improve Harrow as a place, and to support residents and businesses.</w:t>
      </w:r>
    </w:p>
    <w:p w14:paraId="3536318F" w14:textId="77777777" w:rsidR="00F90027" w:rsidRDefault="00F90027" w:rsidP="00F90027"/>
    <w:p w14:paraId="7B17FF0E" w14:textId="77777777" w:rsidR="00F90027" w:rsidRDefault="00F90027" w:rsidP="00F90027">
      <w:r>
        <w:t>Option B To do nothing - Not to enter into an agreement with the GLA</w:t>
      </w:r>
    </w:p>
    <w:p w14:paraId="62A0C08F" w14:textId="77777777" w:rsidR="00F90027" w:rsidRDefault="00F90027" w:rsidP="00F90027">
      <w:r>
        <w:t xml:space="preserve">This would mean that the council would not receive the £1.4m funding from the UKSPF and would be unable to deliver the projects identified. </w:t>
      </w:r>
    </w:p>
    <w:p w14:paraId="43895836" w14:textId="77777777" w:rsidR="009C63F5" w:rsidRDefault="009C63F5" w:rsidP="009C63F5">
      <w:pPr>
        <w:pStyle w:val="Heading2"/>
        <w:spacing w:before="240"/>
        <w:rPr>
          <w:rFonts w:ascii="Arial" w:hAnsi="Arial"/>
          <w:sz w:val="28"/>
          <w:szCs w:val="28"/>
        </w:rPr>
      </w:pPr>
      <w:r w:rsidRPr="00453AAC">
        <w:rPr>
          <w:rFonts w:ascii="Arial" w:hAnsi="Arial"/>
          <w:sz w:val="28"/>
          <w:szCs w:val="28"/>
        </w:rPr>
        <w:t>Preferred Option</w:t>
      </w:r>
      <w:r>
        <w:rPr>
          <w:rFonts w:ascii="Arial" w:hAnsi="Arial"/>
          <w:sz w:val="28"/>
          <w:szCs w:val="28"/>
        </w:rPr>
        <w:t xml:space="preserve"> </w:t>
      </w:r>
    </w:p>
    <w:p w14:paraId="23A12FEB" w14:textId="77777777" w:rsidR="009C63F5" w:rsidRPr="004B38FE" w:rsidRDefault="009C63F5" w:rsidP="009C63F5">
      <w:pPr>
        <w:pStyle w:val="CommentText"/>
        <w:rPr>
          <w:sz w:val="24"/>
          <w:szCs w:val="24"/>
        </w:rPr>
      </w:pPr>
      <w:r w:rsidRPr="004B38FE">
        <w:rPr>
          <w:sz w:val="24"/>
          <w:szCs w:val="24"/>
        </w:rPr>
        <w:t xml:space="preserve">Option A is the preferred option because it enables the Council to receive the £1.4m funding from the UKSPF in order to deliver the projects identified and also enables the Council to seek to maximise its grant funding over FYs 2023/24 and 2024/25  </w:t>
      </w:r>
    </w:p>
    <w:p w14:paraId="5D089B1E" w14:textId="5B63ACE5" w:rsidR="00333FAA" w:rsidRPr="002C08D1" w:rsidRDefault="00333FAA" w:rsidP="001472A8">
      <w:pPr>
        <w:pStyle w:val="Heading2"/>
        <w:spacing w:before="240"/>
        <w:rPr>
          <w:rFonts w:ascii="Arial" w:hAnsi="Arial"/>
          <w:sz w:val="28"/>
          <w:szCs w:val="28"/>
        </w:rPr>
      </w:pPr>
      <w:r w:rsidRPr="002C08D1">
        <w:rPr>
          <w:rFonts w:ascii="Arial" w:hAnsi="Arial"/>
          <w:sz w:val="28"/>
          <w:szCs w:val="28"/>
        </w:rPr>
        <w:t>Background</w:t>
      </w:r>
    </w:p>
    <w:p w14:paraId="21A193A6" w14:textId="77777777" w:rsidR="002C08D1" w:rsidRDefault="002C08D1" w:rsidP="002C08D1">
      <w:r>
        <w:t>The UK Shared Prosperity Fund (UKSPF) replaces European Union funding (specifically European Structural and Investment Fund). The UK government has established three UKSPF investment priorities:</w:t>
      </w:r>
    </w:p>
    <w:p w14:paraId="4EAA1CF2" w14:textId="77777777" w:rsidR="002C08D1" w:rsidRDefault="002C08D1" w:rsidP="002C08D1">
      <w:r>
        <w:t>•</w:t>
      </w:r>
      <w:r>
        <w:tab/>
        <w:t>Communities and Place</w:t>
      </w:r>
    </w:p>
    <w:p w14:paraId="6F25615A" w14:textId="77777777" w:rsidR="002C08D1" w:rsidRDefault="002C08D1" w:rsidP="002C08D1">
      <w:r>
        <w:t>•</w:t>
      </w:r>
      <w:r>
        <w:tab/>
        <w:t>Supporting local business</w:t>
      </w:r>
    </w:p>
    <w:p w14:paraId="0814BA0D" w14:textId="77777777" w:rsidR="002C08D1" w:rsidRDefault="002C08D1" w:rsidP="002C08D1">
      <w:r>
        <w:t>•</w:t>
      </w:r>
      <w:r>
        <w:tab/>
        <w:t xml:space="preserve">People and Skills </w:t>
      </w:r>
    </w:p>
    <w:p w14:paraId="1E323E0C" w14:textId="77777777" w:rsidR="002C08D1" w:rsidRDefault="002C08D1" w:rsidP="002C08D1"/>
    <w:p w14:paraId="0883041E" w14:textId="77777777" w:rsidR="002C08D1" w:rsidRDefault="002C08D1" w:rsidP="002C08D1">
      <w:r>
        <w:t xml:space="preserve">The GLA as the Lead Authority to manage UKSPF in London submitted an Investment Plan to government at the end of July 2022 to show how it proposed to spend the UKSPF across London and summarise the </w:t>
      </w:r>
      <w:r w:rsidRPr="004412BC">
        <w:t>outputs and outcomes</w:t>
      </w:r>
      <w:r>
        <w:t xml:space="preserve"> that the funding would deliver.</w:t>
      </w:r>
    </w:p>
    <w:p w14:paraId="25419764" w14:textId="77777777" w:rsidR="002C08D1" w:rsidRDefault="002C08D1" w:rsidP="002C08D1"/>
    <w:p w14:paraId="60599C69" w14:textId="4CD5E128" w:rsidR="002C08D1" w:rsidRDefault="002C08D1" w:rsidP="002C08D1">
      <w:r>
        <w:t xml:space="preserve">The GLA Investment Plan allocated some of the UKSPF under the Communities and Place and Supporting Local Business themes directly to each London borough. Boroughs were required to submit </w:t>
      </w:r>
      <w:r w:rsidRPr="004412BC">
        <w:t xml:space="preserve">proposals </w:t>
      </w:r>
      <w:r>
        <w:t xml:space="preserve">to </w:t>
      </w:r>
      <w:r w:rsidRPr="004412BC">
        <w:t xml:space="preserve">the GLA </w:t>
      </w:r>
      <w:r>
        <w:t xml:space="preserve">in October 2022, setting out the proposed </w:t>
      </w:r>
      <w:r w:rsidRPr="004412BC">
        <w:t>projects</w:t>
      </w:r>
      <w:r>
        <w:t>,</w:t>
      </w:r>
      <w:r w:rsidRPr="004412BC">
        <w:t xml:space="preserve"> spend and </w:t>
      </w:r>
      <w:r>
        <w:t xml:space="preserve">related </w:t>
      </w:r>
      <w:r w:rsidRPr="004412BC">
        <w:t xml:space="preserve">outputs and outcomes to be delivered under </w:t>
      </w:r>
      <w:r>
        <w:t xml:space="preserve">these two themes. </w:t>
      </w:r>
      <w:r w:rsidR="00CC4746">
        <w:t>Table 1 below s</w:t>
      </w:r>
      <w:r>
        <w:t>ummarises the projects that it is proposed to fund under UKSPF under these 2 themes and by Portfolio Holder.</w:t>
      </w:r>
    </w:p>
    <w:p w14:paraId="68D2541D" w14:textId="77777777" w:rsidR="002C08D1" w:rsidRDefault="002C08D1" w:rsidP="002C08D1"/>
    <w:p w14:paraId="67F1D2EB" w14:textId="4FBE6862" w:rsidR="002C08D1" w:rsidRDefault="002C08D1" w:rsidP="002C08D1">
      <w:pPr>
        <w:spacing w:after="160" w:line="259" w:lineRule="auto"/>
        <w:contextualSpacing/>
        <w:rPr>
          <w:rFonts w:cs="Arial"/>
        </w:rPr>
      </w:pPr>
      <w:r>
        <w:rPr>
          <w:rFonts w:cs="Arial"/>
        </w:rPr>
        <w:t xml:space="preserve">The </w:t>
      </w:r>
      <w:r w:rsidRPr="000A6C79">
        <w:rPr>
          <w:rFonts w:cs="Arial"/>
        </w:rPr>
        <w:t xml:space="preserve">GLA has </w:t>
      </w:r>
      <w:r>
        <w:rPr>
          <w:rFonts w:cs="Arial"/>
        </w:rPr>
        <w:t xml:space="preserve">since </w:t>
      </w:r>
      <w:r w:rsidRPr="000A6C79">
        <w:rPr>
          <w:rFonts w:cs="Arial"/>
        </w:rPr>
        <w:t xml:space="preserve">reviewed all borough proposals and checked information against the GLA’s UKSPF </w:t>
      </w:r>
      <w:r>
        <w:rPr>
          <w:rFonts w:cs="Arial"/>
        </w:rPr>
        <w:t>I</w:t>
      </w:r>
      <w:r w:rsidRPr="000A6C79">
        <w:rPr>
          <w:rFonts w:cs="Arial"/>
        </w:rPr>
        <w:t xml:space="preserve">nvestment </w:t>
      </w:r>
      <w:r>
        <w:rPr>
          <w:rFonts w:cs="Arial"/>
        </w:rPr>
        <w:t>P</w:t>
      </w:r>
      <w:r w:rsidRPr="000A6C79">
        <w:rPr>
          <w:rFonts w:cs="Arial"/>
        </w:rPr>
        <w:t>lan submitted to government</w:t>
      </w:r>
      <w:r>
        <w:rPr>
          <w:rFonts w:cs="Arial"/>
        </w:rPr>
        <w:t xml:space="preserve">. A request for further information for Harrow’s proposals including the need to set out the outputs/outcomes by quarter and review the outputs and outcomes following clarification of their definitions was submitted to the GLA </w:t>
      </w:r>
      <w:r w:rsidR="00420111">
        <w:rPr>
          <w:rFonts w:cs="Arial"/>
        </w:rPr>
        <w:t>in December</w:t>
      </w:r>
      <w:r w:rsidR="0026337B">
        <w:rPr>
          <w:rFonts w:cs="Arial"/>
        </w:rPr>
        <w:t xml:space="preserve"> 2022</w:t>
      </w:r>
      <w:r>
        <w:rPr>
          <w:rFonts w:cs="Arial"/>
        </w:rPr>
        <w:t xml:space="preserve">. </w:t>
      </w:r>
      <w:r w:rsidR="006307B6">
        <w:rPr>
          <w:rFonts w:cs="Arial"/>
        </w:rPr>
        <w:t xml:space="preserve">These revised proposals have now been agreed by the GLA. </w:t>
      </w:r>
    </w:p>
    <w:p w14:paraId="43358146" w14:textId="77777777" w:rsidR="002C08D1" w:rsidRDefault="002C08D1" w:rsidP="002C08D1">
      <w:pPr>
        <w:spacing w:after="160" w:line="259" w:lineRule="auto"/>
        <w:contextualSpacing/>
        <w:rPr>
          <w:b/>
          <w:bCs/>
        </w:rPr>
      </w:pPr>
    </w:p>
    <w:p w14:paraId="76AD3697" w14:textId="5876B4BF" w:rsidR="002C08D1" w:rsidRDefault="002C08D1" w:rsidP="002C08D1">
      <w:r>
        <w:t xml:space="preserve">To access this funding, the Council is </w:t>
      </w:r>
      <w:r w:rsidR="0026337B">
        <w:t xml:space="preserve">now </w:t>
      </w:r>
      <w:r>
        <w:t xml:space="preserve">required to sign a Grant Funding Agreement (GFA) with the GLA. The revised outputs and outcomes information submitted in December </w:t>
      </w:r>
      <w:r w:rsidRPr="0036325D">
        <w:t xml:space="preserve">form part of </w:t>
      </w:r>
      <w:r>
        <w:t>the council’s</w:t>
      </w:r>
      <w:r w:rsidRPr="0036325D">
        <w:t xml:space="preserve"> </w:t>
      </w:r>
      <w:r>
        <w:t xml:space="preserve">GFA </w:t>
      </w:r>
      <w:r w:rsidRPr="0036325D">
        <w:t xml:space="preserve">and will be used to monitor performance over the lifetime of the UKSPF programme. </w:t>
      </w:r>
    </w:p>
    <w:p w14:paraId="6EDD6738" w14:textId="77777777" w:rsidR="00D22ECA" w:rsidRDefault="00D22ECA" w:rsidP="002C08D1"/>
    <w:p w14:paraId="443BDD7D" w14:textId="778CEC2A" w:rsidR="003F3ED4" w:rsidRPr="003F3ED4" w:rsidRDefault="006F613C" w:rsidP="003F3ED4">
      <w:pPr>
        <w:rPr>
          <w:rFonts w:cs="Arial"/>
        </w:rPr>
      </w:pPr>
      <w:r>
        <w:t>It should be noted that t</w:t>
      </w:r>
      <w:r w:rsidR="007C1023">
        <w:t xml:space="preserve">he </w:t>
      </w:r>
      <w:r w:rsidR="00AD2EF2" w:rsidRPr="6B9560E0">
        <w:rPr>
          <w:rFonts w:cs="Arial"/>
        </w:rPr>
        <w:t xml:space="preserve">GFA has been drafted to reflect the standard clauses in the GLA’s UKSPF Memorandum of Understanding with </w:t>
      </w:r>
      <w:r w:rsidR="55F64C51" w:rsidRPr="6B9560E0">
        <w:rPr>
          <w:rFonts w:cs="Arial"/>
        </w:rPr>
        <w:t xml:space="preserve">the </w:t>
      </w:r>
      <w:r w:rsidR="00AD2EF2" w:rsidRPr="6B9560E0">
        <w:rPr>
          <w:rFonts w:cs="Arial"/>
        </w:rPr>
        <w:t xml:space="preserve">UK </w:t>
      </w:r>
      <w:r w:rsidR="4ED84C09" w:rsidRPr="6B9560E0">
        <w:rPr>
          <w:rFonts w:cs="Arial"/>
        </w:rPr>
        <w:t>G</w:t>
      </w:r>
      <w:r w:rsidR="00AD2EF2" w:rsidRPr="6B9560E0">
        <w:rPr>
          <w:rFonts w:cs="Arial"/>
        </w:rPr>
        <w:t xml:space="preserve">overnment. As such, the GLA has stated that </w:t>
      </w:r>
      <w:r w:rsidR="00B64F4B" w:rsidRPr="6B9560E0">
        <w:rPr>
          <w:rFonts w:cs="Arial"/>
        </w:rPr>
        <w:t>it is</w:t>
      </w:r>
      <w:r w:rsidR="149B3183" w:rsidRPr="6B9560E0">
        <w:rPr>
          <w:rFonts w:cs="Arial"/>
        </w:rPr>
        <w:t xml:space="preserve"> </w:t>
      </w:r>
      <w:r w:rsidR="00B64F4B" w:rsidRPr="6B9560E0">
        <w:rPr>
          <w:rFonts w:cs="Arial"/>
        </w:rPr>
        <w:t>n</w:t>
      </w:r>
      <w:r w:rsidR="53DE0DF8" w:rsidRPr="6B9560E0">
        <w:rPr>
          <w:rFonts w:cs="Arial"/>
        </w:rPr>
        <w:t>o</w:t>
      </w:r>
      <w:r w:rsidR="00B64F4B" w:rsidRPr="6B9560E0">
        <w:rPr>
          <w:rFonts w:cs="Arial"/>
        </w:rPr>
        <w:t xml:space="preserve">t possible to </w:t>
      </w:r>
      <w:r w:rsidR="00AD2EF2" w:rsidRPr="6B9560E0">
        <w:rPr>
          <w:rFonts w:cs="Arial"/>
        </w:rPr>
        <w:t xml:space="preserve">renegotiate </w:t>
      </w:r>
      <w:r w:rsidR="00AD2EF2" w:rsidRPr="6B9560E0">
        <w:rPr>
          <w:rFonts w:cs="Arial"/>
        </w:rPr>
        <w:lastRenderedPageBreak/>
        <w:t xml:space="preserve">the standard clauses or wording. </w:t>
      </w:r>
      <w:r w:rsidR="00B85CB9" w:rsidRPr="6B9560E0">
        <w:rPr>
          <w:rFonts w:cs="Arial"/>
        </w:rPr>
        <w:t xml:space="preserve">It should also be noted that by acting as the Lead </w:t>
      </w:r>
      <w:r w:rsidR="0070164B" w:rsidRPr="6B9560E0">
        <w:rPr>
          <w:rFonts w:cs="Arial"/>
        </w:rPr>
        <w:t>Authority</w:t>
      </w:r>
      <w:r w:rsidR="00B85CB9" w:rsidRPr="6B9560E0">
        <w:rPr>
          <w:rFonts w:cs="Arial"/>
        </w:rPr>
        <w:t xml:space="preserve">, the GLA is tied to the </w:t>
      </w:r>
      <w:r w:rsidR="009C1487" w:rsidRPr="6B9560E0">
        <w:rPr>
          <w:rFonts w:cs="Arial"/>
        </w:rPr>
        <w:t xml:space="preserve">UK Government’s UKSPF </w:t>
      </w:r>
      <w:r w:rsidR="0070164B" w:rsidRPr="6B9560E0">
        <w:rPr>
          <w:rFonts w:cs="Arial"/>
        </w:rPr>
        <w:t>requirements</w:t>
      </w:r>
      <w:r w:rsidR="00461471" w:rsidRPr="6B9560E0">
        <w:rPr>
          <w:rFonts w:cs="Arial"/>
        </w:rPr>
        <w:t xml:space="preserve">. The key implication for Harrow as one of the London Boroughs receiving a direct </w:t>
      </w:r>
      <w:r w:rsidR="0070164B" w:rsidRPr="6B9560E0">
        <w:rPr>
          <w:rFonts w:cs="Arial"/>
        </w:rPr>
        <w:t>allocation</w:t>
      </w:r>
      <w:r w:rsidR="00461471" w:rsidRPr="6B9560E0">
        <w:rPr>
          <w:rFonts w:cs="Arial"/>
        </w:rPr>
        <w:t xml:space="preserve"> </w:t>
      </w:r>
      <w:r w:rsidR="00DB0AC7" w:rsidRPr="6B9560E0">
        <w:rPr>
          <w:rFonts w:cs="Arial"/>
        </w:rPr>
        <w:t xml:space="preserve">is that the GFA includes a clause that </w:t>
      </w:r>
      <w:r w:rsidR="00F0444E" w:rsidRPr="6B9560E0">
        <w:rPr>
          <w:rFonts w:cs="Arial"/>
        </w:rPr>
        <w:t xml:space="preserve">allows the GLA to </w:t>
      </w:r>
      <w:r w:rsidR="0070164B" w:rsidRPr="6B9560E0">
        <w:rPr>
          <w:rFonts w:cs="Arial"/>
        </w:rPr>
        <w:t xml:space="preserve">reduce the amount of grant paid to Harrow as a result of </w:t>
      </w:r>
      <w:r w:rsidR="003F3ED4" w:rsidRPr="6B9560E0">
        <w:rPr>
          <w:rFonts w:cs="Arial"/>
        </w:rPr>
        <w:t>the Secretary of State withholding or reducing UK Shared Prosperity Funding under its Memorandum of Understanding with the GLA</w:t>
      </w:r>
      <w:r w:rsidR="0070164B" w:rsidRPr="6B9560E0">
        <w:rPr>
          <w:rFonts w:cs="Arial"/>
        </w:rPr>
        <w:t xml:space="preserve">. </w:t>
      </w:r>
    </w:p>
    <w:p w14:paraId="47ACCC6B" w14:textId="77777777" w:rsidR="003F3ED4" w:rsidRPr="003F3ED4" w:rsidRDefault="003F3ED4" w:rsidP="003F3ED4">
      <w:pPr>
        <w:rPr>
          <w:rFonts w:cs="Arial"/>
        </w:rPr>
      </w:pPr>
    </w:p>
    <w:p w14:paraId="166B5ABD" w14:textId="265718B9" w:rsidR="002C08D1" w:rsidRPr="005E18DF" w:rsidRDefault="00CC4746" w:rsidP="002C08D1">
      <w:pPr>
        <w:rPr>
          <w:b/>
          <w:bCs/>
        </w:rPr>
      </w:pPr>
      <w:r w:rsidRPr="005E18DF">
        <w:rPr>
          <w:b/>
          <w:bCs/>
        </w:rPr>
        <w:t xml:space="preserve">Table 1 </w:t>
      </w:r>
      <w:r w:rsidR="002C08D1" w:rsidRPr="005E18DF">
        <w:rPr>
          <w:b/>
          <w:bCs/>
        </w:rPr>
        <w:t>Summary of Projects</w:t>
      </w:r>
      <w:r w:rsidR="004801A6" w:rsidRPr="005E18DF">
        <w:rPr>
          <w:b/>
          <w:bCs/>
        </w:rPr>
        <w:t xml:space="preserve"> by Portfolio and UKSPF Theme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851"/>
        <w:gridCol w:w="1524"/>
        <w:gridCol w:w="1701"/>
        <w:gridCol w:w="1617"/>
      </w:tblGrid>
      <w:tr w:rsidR="00A942AF" w:rsidRPr="00AF64B9" w14:paraId="3B7921B6" w14:textId="77777777" w:rsidTr="00BE7A34">
        <w:trPr>
          <w:trHeight w:val="570"/>
          <w:tblHeader/>
        </w:trPr>
        <w:tc>
          <w:tcPr>
            <w:tcW w:w="1672" w:type="dxa"/>
            <w:shd w:val="clear" w:color="auto" w:fill="D9D9D9" w:themeFill="background1" w:themeFillShade="D9"/>
            <w:vAlign w:val="center"/>
            <w:hideMark/>
          </w:tcPr>
          <w:p w14:paraId="6488BF19" w14:textId="77777777" w:rsidR="00F75DB5" w:rsidRPr="00AF64B9" w:rsidRDefault="00F75DB5">
            <w:pPr>
              <w:rPr>
                <w:rFonts w:cs="Arial"/>
                <w:b/>
                <w:bCs/>
                <w:color w:val="000000"/>
                <w:szCs w:val="24"/>
                <w:lang w:eastAsia="en-GB"/>
              </w:rPr>
            </w:pPr>
            <w:r w:rsidRPr="00AF64B9">
              <w:rPr>
                <w:rFonts w:cs="Arial"/>
                <w:b/>
                <w:bCs/>
                <w:color w:val="000000"/>
                <w:szCs w:val="24"/>
                <w:lang w:eastAsia="en-GB"/>
              </w:rPr>
              <w:t>Project Name</w:t>
            </w:r>
          </w:p>
        </w:tc>
        <w:tc>
          <w:tcPr>
            <w:tcW w:w="3009" w:type="dxa"/>
            <w:shd w:val="clear" w:color="auto" w:fill="D9D9D9" w:themeFill="background1" w:themeFillShade="D9"/>
            <w:vAlign w:val="center"/>
            <w:hideMark/>
          </w:tcPr>
          <w:p w14:paraId="6D180403" w14:textId="77777777" w:rsidR="00F75DB5" w:rsidRPr="00AF64B9" w:rsidRDefault="00F75DB5">
            <w:pPr>
              <w:rPr>
                <w:rFonts w:cs="Arial"/>
                <w:b/>
                <w:bCs/>
                <w:color w:val="000000"/>
                <w:szCs w:val="24"/>
                <w:lang w:eastAsia="en-GB"/>
              </w:rPr>
            </w:pPr>
            <w:r w:rsidRPr="00AF64B9">
              <w:rPr>
                <w:rFonts w:cs="Arial"/>
                <w:b/>
                <w:bCs/>
                <w:color w:val="000000"/>
                <w:szCs w:val="24"/>
                <w:lang w:eastAsia="en-GB"/>
              </w:rPr>
              <w:t>Project Summary</w:t>
            </w:r>
          </w:p>
        </w:tc>
        <w:tc>
          <w:tcPr>
            <w:tcW w:w="1551" w:type="dxa"/>
            <w:shd w:val="clear" w:color="auto" w:fill="D9D9D9"/>
          </w:tcPr>
          <w:p w14:paraId="4D5ED070" w14:textId="77777777" w:rsidR="00F75DB5" w:rsidRPr="00AF64B9" w:rsidRDefault="00F75DB5">
            <w:pPr>
              <w:jc w:val="center"/>
              <w:rPr>
                <w:rFonts w:cs="Arial"/>
                <w:b/>
                <w:bCs/>
                <w:color w:val="000000"/>
                <w:szCs w:val="24"/>
              </w:rPr>
            </w:pPr>
            <w:r w:rsidRPr="00AF64B9">
              <w:rPr>
                <w:rFonts w:cs="Arial"/>
                <w:b/>
                <w:bCs/>
                <w:color w:val="000000"/>
                <w:szCs w:val="24"/>
              </w:rPr>
              <w:t>UKSPF Allocation</w:t>
            </w:r>
          </w:p>
          <w:p w14:paraId="373CED99" w14:textId="77777777" w:rsidR="00F75DB5" w:rsidRDefault="00F75DB5">
            <w:pPr>
              <w:jc w:val="center"/>
              <w:rPr>
                <w:rFonts w:cs="Arial"/>
                <w:b/>
                <w:bCs/>
                <w:color w:val="000000"/>
                <w:szCs w:val="24"/>
              </w:rPr>
            </w:pPr>
            <w:r w:rsidRPr="00AF64B9">
              <w:rPr>
                <w:rFonts w:cs="Arial"/>
                <w:b/>
                <w:bCs/>
                <w:color w:val="000000"/>
                <w:szCs w:val="24"/>
              </w:rPr>
              <w:t>Capital</w:t>
            </w:r>
          </w:p>
          <w:p w14:paraId="63B67756" w14:textId="77777777" w:rsidR="00AE7F0B" w:rsidRDefault="00597538">
            <w:pPr>
              <w:jc w:val="center"/>
              <w:rPr>
                <w:rFonts w:cs="Arial"/>
                <w:b/>
                <w:bCs/>
                <w:color w:val="000000"/>
                <w:szCs w:val="24"/>
              </w:rPr>
            </w:pPr>
            <w:r>
              <w:rPr>
                <w:rFonts w:cs="Arial"/>
                <w:b/>
                <w:bCs/>
                <w:color w:val="000000"/>
                <w:szCs w:val="24"/>
              </w:rPr>
              <w:t>FYs</w:t>
            </w:r>
          </w:p>
          <w:p w14:paraId="496F4183" w14:textId="4A66C593" w:rsidR="00597538" w:rsidRPr="00AF64B9" w:rsidRDefault="00597538">
            <w:pPr>
              <w:jc w:val="center"/>
              <w:rPr>
                <w:rFonts w:cs="Arial"/>
                <w:b/>
                <w:bCs/>
                <w:color w:val="000000"/>
                <w:szCs w:val="24"/>
                <w:lang w:eastAsia="en-GB"/>
              </w:rPr>
            </w:pPr>
            <w:r>
              <w:rPr>
                <w:rFonts w:cs="Arial"/>
                <w:b/>
                <w:bCs/>
                <w:color w:val="000000"/>
                <w:szCs w:val="24"/>
              </w:rPr>
              <w:t>22/23- 24/25</w:t>
            </w:r>
          </w:p>
        </w:tc>
        <w:tc>
          <w:tcPr>
            <w:tcW w:w="1701" w:type="dxa"/>
            <w:shd w:val="clear" w:color="auto" w:fill="D9D9D9"/>
            <w:vAlign w:val="center"/>
          </w:tcPr>
          <w:p w14:paraId="4C311CD9" w14:textId="77777777" w:rsidR="00F75DB5" w:rsidRPr="00AF64B9" w:rsidRDefault="00F75DB5">
            <w:pPr>
              <w:jc w:val="center"/>
              <w:rPr>
                <w:rFonts w:cs="Arial"/>
                <w:b/>
                <w:bCs/>
                <w:szCs w:val="24"/>
              </w:rPr>
            </w:pPr>
            <w:r w:rsidRPr="00AF64B9">
              <w:rPr>
                <w:rFonts w:cs="Arial"/>
                <w:b/>
                <w:bCs/>
                <w:color w:val="000000"/>
                <w:szCs w:val="24"/>
              </w:rPr>
              <w:t>UKSPF Allocation</w:t>
            </w:r>
          </w:p>
          <w:p w14:paraId="69621721" w14:textId="77777777" w:rsidR="00F75DB5" w:rsidRDefault="00F75DB5">
            <w:pPr>
              <w:jc w:val="center"/>
              <w:rPr>
                <w:rFonts w:cs="Arial"/>
                <w:b/>
                <w:bCs/>
                <w:color w:val="000000"/>
                <w:szCs w:val="24"/>
              </w:rPr>
            </w:pPr>
            <w:r w:rsidRPr="00AF64B9">
              <w:rPr>
                <w:rFonts w:cs="Arial"/>
                <w:b/>
                <w:bCs/>
                <w:color w:val="000000"/>
                <w:szCs w:val="24"/>
              </w:rPr>
              <w:t>Revenue</w:t>
            </w:r>
          </w:p>
          <w:p w14:paraId="5A26A9E2" w14:textId="77777777" w:rsidR="00AE7F0B" w:rsidRDefault="008466D5">
            <w:pPr>
              <w:jc w:val="center"/>
              <w:rPr>
                <w:rFonts w:cs="Arial"/>
                <w:b/>
                <w:bCs/>
                <w:color w:val="000000"/>
                <w:szCs w:val="24"/>
              </w:rPr>
            </w:pPr>
            <w:r>
              <w:rPr>
                <w:rFonts w:cs="Arial"/>
                <w:b/>
                <w:bCs/>
                <w:color w:val="000000"/>
                <w:szCs w:val="24"/>
              </w:rPr>
              <w:t>FYs</w:t>
            </w:r>
          </w:p>
          <w:p w14:paraId="28568F9E" w14:textId="77777777" w:rsidR="00D446A9" w:rsidRDefault="008466D5">
            <w:pPr>
              <w:jc w:val="center"/>
              <w:rPr>
                <w:rFonts w:cs="Arial"/>
                <w:b/>
                <w:bCs/>
                <w:color w:val="000000"/>
                <w:szCs w:val="24"/>
              </w:rPr>
            </w:pPr>
            <w:r>
              <w:rPr>
                <w:rFonts w:cs="Arial"/>
                <w:b/>
                <w:bCs/>
                <w:color w:val="000000"/>
                <w:szCs w:val="24"/>
              </w:rPr>
              <w:t>22/23-</w:t>
            </w:r>
          </w:p>
          <w:p w14:paraId="132C9E01" w14:textId="09269609" w:rsidR="008466D5" w:rsidRPr="00AF64B9" w:rsidRDefault="008466D5">
            <w:pPr>
              <w:jc w:val="center"/>
              <w:rPr>
                <w:rFonts w:cs="Arial"/>
                <w:b/>
                <w:bCs/>
                <w:color w:val="000000"/>
                <w:szCs w:val="24"/>
                <w:lang w:eastAsia="en-GB"/>
              </w:rPr>
            </w:pPr>
            <w:r>
              <w:rPr>
                <w:rFonts w:cs="Arial"/>
                <w:b/>
                <w:bCs/>
                <w:color w:val="000000"/>
                <w:szCs w:val="24"/>
              </w:rPr>
              <w:t>24/25</w:t>
            </w:r>
          </w:p>
        </w:tc>
        <w:tc>
          <w:tcPr>
            <w:tcW w:w="1418" w:type="dxa"/>
            <w:shd w:val="clear" w:color="auto" w:fill="D9D9D9" w:themeFill="background1" w:themeFillShade="D9"/>
            <w:vAlign w:val="center"/>
            <w:hideMark/>
          </w:tcPr>
          <w:p w14:paraId="31B658CB" w14:textId="77777777" w:rsidR="00F75DB5" w:rsidRPr="00AF64B9" w:rsidRDefault="00F75DB5">
            <w:pPr>
              <w:rPr>
                <w:rFonts w:cs="Arial"/>
                <w:b/>
                <w:bCs/>
                <w:color w:val="000000"/>
                <w:szCs w:val="24"/>
                <w:lang w:eastAsia="en-GB"/>
              </w:rPr>
            </w:pPr>
            <w:r w:rsidRPr="00AF64B9">
              <w:rPr>
                <w:rFonts w:cs="Arial"/>
                <w:b/>
                <w:bCs/>
                <w:color w:val="000000"/>
                <w:szCs w:val="24"/>
                <w:lang w:eastAsia="en-GB"/>
              </w:rPr>
              <w:t>UKSPF Theme</w:t>
            </w:r>
          </w:p>
        </w:tc>
      </w:tr>
      <w:tr w:rsidR="00CC4746" w:rsidRPr="00AF64B9" w14:paraId="297AB270" w14:textId="77777777" w:rsidTr="00BE7A34">
        <w:trPr>
          <w:trHeight w:val="285"/>
        </w:trPr>
        <w:tc>
          <w:tcPr>
            <w:tcW w:w="9351" w:type="dxa"/>
            <w:gridSpan w:val="5"/>
            <w:shd w:val="clear" w:color="auto" w:fill="F2F2F2" w:themeFill="background1" w:themeFillShade="F2"/>
            <w:vAlign w:val="center"/>
          </w:tcPr>
          <w:p w14:paraId="332EE7AD" w14:textId="743AFF35" w:rsidR="00CC4746" w:rsidRPr="00AF64B9" w:rsidRDefault="00CC4746">
            <w:pPr>
              <w:rPr>
                <w:rFonts w:cs="Arial"/>
                <w:b/>
                <w:bCs/>
                <w:color w:val="000000"/>
                <w:szCs w:val="24"/>
                <w:lang w:eastAsia="en-GB"/>
              </w:rPr>
            </w:pPr>
            <w:r w:rsidRPr="00AF64B9">
              <w:rPr>
                <w:rFonts w:cs="Arial"/>
                <w:b/>
                <w:bCs/>
                <w:color w:val="000000"/>
                <w:szCs w:val="24"/>
                <w:lang w:eastAsia="en-GB"/>
              </w:rPr>
              <w:t>Community and Culture portfolio</w:t>
            </w:r>
          </w:p>
        </w:tc>
      </w:tr>
      <w:tr w:rsidR="00030D47" w:rsidRPr="00AF64B9" w14:paraId="486CE3FA" w14:textId="77777777" w:rsidTr="00BE7A34">
        <w:trPr>
          <w:trHeight w:val="855"/>
        </w:trPr>
        <w:tc>
          <w:tcPr>
            <w:tcW w:w="1672" w:type="dxa"/>
            <w:shd w:val="clear" w:color="auto" w:fill="auto"/>
            <w:vAlign w:val="center"/>
            <w:hideMark/>
          </w:tcPr>
          <w:p w14:paraId="631C3D50" w14:textId="77777777" w:rsidR="00F75DB5" w:rsidRPr="00AF64B9" w:rsidRDefault="00F75DB5">
            <w:pPr>
              <w:rPr>
                <w:rFonts w:cs="Arial"/>
                <w:color w:val="000000"/>
                <w:szCs w:val="24"/>
                <w:lang w:eastAsia="en-GB"/>
              </w:rPr>
            </w:pPr>
            <w:r w:rsidRPr="00AF64B9">
              <w:rPr>
                <w:rFonts w:cs="Arial"/>
                <w:color w:val="000000"/>
                <w:szCs w:val="24"/>
                <w:lang w:eastAsia="en-GB"/>
              </w:rPr>
              <w:t>Harrow Cultural Assets - New archive &amp; gallery space</w:t>
            </w:r>
          </w:p>
        </w:tc>
        <w:tc>
          <w:tcPr>
            <w:tcW w:w="3009" w:type="dxa"/>
            <w:shd w:val="clear" w:color="auto" w:fill="auto"/>
            <w:vAlign w:val="center"/>
            <w:hideMark/>
          </w:tcPr>
          <w:p w14:paraId="4D6922F8" w14:textId="77777777" w:rsidR="00F75DB5" w:rsidRPr="00AF64B9" w:rsidRDefault="00F75DB5">
            <w:pPr>
              <w:rPr>
                <w:rFonts w:cs="Arial"/>
                <w:color w:val="000000"/>
                <w:szCs w:val="24"/>
                <w:lang w:eastAsia="en-GB"/>
              </w:rPr>
            </w:pPr>
            <w:r w:rsidRPr="00AF64B9">
              <w:rPr>
                <w:rFonts w:cs="Arial"/>
                <w:color w:val="000000"/>
                <w:szCs w:val="24"/>
                <w:lang w:eastAsia="en-GB"/>
              </w:rPr>
              <w:t>Use the UKSPF to improve access to the borough’s cultural assets, including for example the Council’s public borough archive</w:t>
            </w:r>
          </w:p>
        </w:tc>
        <w:tc>
          <w:tcPr>
            <w:tcW w:w="1551" w:type="dxa"/>
            <w:shd w:val="clear" w:color="auto" w:fill="auto"/>
            <w:vAlign w:val="center"/>
          </w:tcPr>
          <w:p w14:paraId="556F5610" w14:textId="28F43A57" w:rsidR="00512BB7" w:rsidRPr="00AF64B9" w:rsidRDefault="00512BB7">
            <w:pPr>
              <w:jc w:val="center"/>
              <w:rPr>
                <w:rFonts w:cs="Arial"/>
                <w:szCs w:val="24"/>
                <w:lang w:eastAsia="en-GB"/>
              </w:rPr>
            </w:pPr>
            <w:r>
              <w:rPr>
                <w:rFonts w:cs="Arial"/>
                <w:szCs w:val="24"/>
                <w:lang w:eastAsia="en-GB"/>
              </w:rPr>
              <w:t>£123</w:t>
            </w:r>
            <w:r w:rsidR="00270949">
              <w:rPr>
                <w:rFonts w:cs="Arial"/>
                <w:szCs w:val="24"/>
                <w:lang w:eastAsia="en-GB"/>
              </w:rPr>
              <w:t>,456</w:t>
            </w:r>
          </w:p>
        </w:tc>
        <w:tc>
          <w:tcPr>
            <w:tcW w:w="1701" w:type="dxa"/>
            <w:shd w:val="clear" w:color="auto" w:fill="auto"/>
            <w:noWrap/>
            <w:vAlign w:val="center"/>
          </w:tcPr>
          <w:p w14:paraId="2B459914" w14:textId="2D280AED" w:rsidR="00270949" w:rsidRPr="00AF64B9" w:rsidRDefault="00AD7711" w:rsidP="00AA41CD">
            <w:pPr>
              <w:jc w:val="center"/>
              <w:rPr>
                <w:rFonts w:cs="Arial"/>
                <w:szCs w:val="24"/>
                <w:lang w:eastAsia="en-GB"/>
              </w:rPr>
            </w:pPr>
            <w:r w:rsidRPr="00AA41CD">
              <w:rPr>
                <w:rFonts w:cs="Arial"/>
                <w:szCs w:val="24"/>
                <w:lang w:eastAsia="en-GB"/>
              </w:rPr>
              <w:t>£30</w:t>
            </w:r>
            <w:r w:rsidR="00AA41CD" w:rsidRPr="00AA41CD">
              <w:rPr>
                <w:rFonts w:cs="Arial"/>
                <w:szCs w:val="24"/>
                <w:lang w:eastAsia="en-GB"/>
              </w:rPr>
              <w:t>,048</w:t>
            </w:r>
          </w:p>
        </w:tc>
        <w:tc>
          <w:tcPr>
            <w:tcW w:w="1418" w:type="dxa"/>
            <w:shd w:val="clear" w:color="auto" w:fill="auto"/>
            <w:noWrap/>
            <w:vAlign w:val="center"/>
            <w:hideMark/>
          </w:tcPr>
          <w:p w14:paraId="280E5202" w14:textId="77777777" w:rsidR="00F75DB5" w:rsidRPr="00AF64B9" w:rsidRDefault="00F75DB5">
            <w:pPr>
              <w:rPr>
                <w:rFonts w:cs="Arial"/>
                <w:color w:val="000000"/>
                <w:szCs w:val="24"/>
                <w:lang w:eastAsia="en-GB"/>
              </w:rPr>
            </w:pPr>
            <w:r w:rsidRPr="00AF64B9">
              <w:rPr>
                <w:rFonts w:cs="Arial"/>
                <w:color w:val="000000"/>
                <w:szCs w:val="24"/>
                <w:lang w:eastAsia="en-GB"/>
              </w:rPr>
              <w:t>Communities and Place</w:t>
            </w:r>
          </w:p>
        </w:tc>
      </w:tr>
      <w:tr w:rsidR="00030D47" w:rsidRPr="00AF64B9" w14:paraId="03A33C76" w14:textId="77777777" w:rsidTr="00BE7A34">
        <w:trPr>
          <w:trHeight w:val="1710"/>
        </w:trPr>
        <w:tc>
          <w:tcPr>
            <w:tcW w:w="1672" w:type="dxa"/>
            <w:shd w:val="clear" w:color="auto" w:fill="auto"/>
            <w:vAlign w:val="center"/>
            <w:hideMark/>
          </w:tcPr>
          <w:p w14:paraId="1472D214" w14:textId="77777777" w:rsidR="00F75DB5" w:rsidRPr="00AF64B9" w:rsidRDefault="00F75DB5">
            <w:pPr>
              <w:rPr>
                <w:rFonts w:cs="Arial"/>
                <w:color w:val="000000"/>
                <w:szCs w:val="24"/>
                <w:lang w:eastAsia="en-GB"/>
              </w:rPr>
            </w:pPr>
            <w:r w:rsidRPr="00AF64B9">
              <w:rPr>
                <w:rFonts w:cs="Arial"/>
                <w:color w:val="000000"/>
                <w:szCs w:val="24"/>
                <w:lang w:eastAsia="en-GB"/>
              </w:rPr>
              <w:t xml:space="preserve">Harrow Arts Centre - Phase 2 </w:t>
            </w:r>
          </w:p>
        </w:tc>
        <w:tc>
          <w:tcPr>
            <w:tcW w:w="3009" w:type="dxa"/>
            <w:shd w:val="clear" w:color="auto" w:fill="auto"/>
            <w:vAlign w:val="center"/>
            <w:hideMark/>
          </w:tcPr>
          <w:p w14:paraId="13F1FE18" w14:textId="4AECDCEB" w:rsidR="00F75DB5" w:rsidRPr="00AF64B9" w:rsidRDefault="00F75DB5">
            <w:pPr>
              <w:rPr>
                <w:rFonts w:cs="Arial"/>
                <w:color w:val="000000"/>
                <w:szCs w:val="24"/>
                <w:lang w:eastAsia="en-GB"/>
              </w:rPr>
            </w:pPr>
            <w:r w:rsidRPr="00AF64B9">
              <w:rPr>
                <w:rFonts w:cs="Arial"/>
                <w:color w:val="000000"/>
                <w:szCs w:val="24"/>
                <w:lang w:eastAsia="en-GB"/>
              </w:rPr>
              <w:t>Phase 2 of the HAC development (total cost £1.7m) will lead to the demolition of the existing Greenhill Portakabin and creation a larger New Build of 2 storeys, circa 450m2.  UKSPF funding will provide resources for roof lights, solar panels (PVs), an additional window, and contribute to public realm improvements. These are for elements of Phase 2 that had previously been "value engineered" out of the build due to lack of funds.</w:t>
            </w:r>
          </w:p>
        </w:tc>
        <w:tc>
          <w:tcPr>
            <w:tcW w:w="1551" w:type="dxa"/>
            <w:shd w:val="clear" w:color="auto" w:fill="auto"/>
            <w:vAlign w:val="center"/>
          </w:tcPr>
          <w:p w14:paraId="45AD945E" w14:textId="263B3F93" w:rsidR="00F75DB5" w:rsidRPr="00AF64B9" w:rsidRDefault="002E7EAA">
            <w:pPr>
              <w:jc w:val="center"/>
              <w:rPr>
                <w:rFonts w:cs="Arial"/>
                <w:szCs w:val="24"/>
                <w:lang w:eastAsia="en-GB"/>
              </w:rPr>
            </w:pPr>
            <w:r>
              <w:rPr>
                <w:rFonts w:cs="Arial"/>
                <w:szCs w:val="24"/>
                <w:lang w:eastAsia="en-GB"/>
              </w:rPr>
              <w:t>£</w:t>
            </w:r>
            <w:r w:rsidR="00D831DF">
              <w:rPr>
                <w:rFonts w:cs="Arial"/>
                <w:szCs w:val="24"/>
                <w:lang w:eastAsia="en-GB"/>
              </w:rPr>
              <w:t>111,4</w:t>
            </w:r>
            <w:r w:rsidR="0091091E">
              <w:rPr>
                <w:rFonts w:cs="Arial"/>
                <w:szCs w:val="24"/>
                <w:lang w:eastAsia="en-GB"/>
              </w:rPr>
              <w:t>90</w:t>
            </w:r>
          </w:p>
        </w:tc>
        <w:tc>
          <w:tcPr>
            <w:tcW w:w="1701" w:type="dxa"/>
            <w:shd w:val="clear" w:color="auto" w:fill="auto"/>
            <w:noWrap/>
            <w:vAlign w:val="center"/>
          </w:tcPr>
          <w:p w14:paraId="2F21B616" w14:textId="1FBDACA4" w:rsidR="00F75DB5" w:rsidRPr="00AF64B9" w:rsidRDefault="002E7EAA">
            <w:pPr>
              <w:jc w:val="center"/>
              <w:rPr>
                <w:rFonts w:cs="Arial"/>
                <w:szCs w:val="24"/>
                <w:lang w:eastAsia="en-GB"/>
              </w:rPr>
            </w:pPr>
            <w:r>
              <w:rPr>
                <w:rFonts w:cs="Arial"/>
                <w:szCs w:val="24"/>
                <w:lang w:eastAsia="en-GB"/>
              </w:rPr>
              <w:t>£</w:t>
            </w:r>
            <w:r w:rsidR="000800FB">
              <w:rPr>
                <w:rFonts w:cs="Arial"/>
                <w:szCs w:val="24"/>
                <w:lang w:eastAsia="en-GB"/>
              </w:rPr>
              <w:t>18,090</w:t>
            </w:r>
          </w:p>
        </w:tc>
        <w:tc>
          <w:tcPr>
            <w:tcW w:w="1418" w:type="dxa"/>
            <w:shd w:val="clear" w:color="auto" w:fill="auto"/>
            <w:noWrap/>
            <w:vAlign w:val="center"/>
            <w:hideMark/>
          </w:tcPr>
          <w:p w14:paraId="3B533EF6" w14:textId="77777777" w:rsidR="00F75DB5" w:rsidRPr="00AF64B9" w:rsidRDefault="00F75DB5">
            <w:pPr>
              <w:rPr>
                <w:rFonts w:cs="Arial"/>
                <w:color w:val="000000"/>
                <w:szCs w:val="24"/>
                <w:lang w:eastAsia="en-GB"/>
              </w:rPr>
            </w:pPr>
            <w:r w:rsidRPr="00AF64B9">
              <w:rPr>
                <w:rFonts w:cs="Arial"/>
                <w:color w:val="000000"/>
                <w:szCs w:val="24"/>
                <w:lang w:eastAsia="en-GB"/>
              </w:rPr>
              <w:t>Communities and Place</w:t>
            </w:r>
          </w:p>
        </w:tc>
      </w:tr>
      <w:tr w:rsidR="00030D47" w:rsidRPr="00AF64B9" w14:paraId="7BFC9DD6" w14:textId="77777777" w:rsidTr="00BE7A34">
        <w:trPr>
          <w:trHeight w:val="1140"/>
        </w:trPr>
        <w:tc>
          <w:tcPr>
            <w:tcW w:w="1672" w:type="dxa"/>
            <w:shd w:val="clear" w:color="auto" w:fill="auto"/>
            <w:vAlign w:val="center"/>
            <w:hideMark/>
          </w:tcPr>
          <w:p w14:paraId="28532D39" w14:textId="0A98BA28" w:rsidR="00F75DB5" w:rsidRPr="00AF64B9" w:rsidRDefault="00F75DB5">
            <w:pPr>
              <w:rPr>
                <w:rFonts w:cs="Arial"/>
                <w:color w:val="000000"/>
                <w:szCs w:val="24"/>
                <w:lang w:eastAsia="en-GB"/>
              </w:rPr>
            </w:pPr>
            <w:r w:rsidRPr="00AF64B9">
              <w:rPr>
                <w:rFonts w:cs="Arial"/>
                <w:color w:val="000000"/>
                <w:szCs w:val="24"/>
                <w:lang w:eastAsia="en-GB"/>
              </w:rPr>
              <w:t>Support to Park</w:t>
            </w:r>
            <w:r w:rsidR="00030D47">
              <w:rPr>
                <w:rFonts w:cs="Arial"/>
                <w:color w:val="000000"/>
                <w:szCs w:val="24"/>
                <w:lang w:eastAsia="en-GB"/>
              </w:rPr>
              <w:t>s and Open Spaces</w:t>
            </w:r>
          </w:p>
        </w:tc>
        <w:tc>
          <w:tcPr>
            <w:tcW w:w="3009" w:type="dxa"/>
            <w:shd w:val="clear" w:color="auto" w:fill="auto"/>
            <w:vAlign w:val="center"/>
            <w:hideMark/>
          </w:tcPr>
          <w:p w14:paraId="19FA9995" w14:textId="77777777" w:rsidR="00F75DB5" w:rsidRPr="00AF64B9" w:rsidRDefault="00F75DB5">
            <w:pPr>
              <w:rPr>
                <w:rFonts w:eastAsia="Calibri" w:cs="Arial"/>
                <w:szCs w:val="24"/>
              </w:rPr>
            </w:pPr>
            <w:r w:rsidRPr="00AF64B9">
              <w:rPr>
                <w:rFonts w:eastAsia="Calibri" w:cs="Arial"/>
                <w:szCs w:val="24"/>
              </w:rPr>
              <w:t xml:space="preserve">Capital funding will be used to </w:t>
            </w:r>
          </w:p>
          <w:p w14:paraId="3DE2B39C" w14:textId="77777777" w:rsidR="00F75DB5" w:rsidRPr="00097A82" w:rsidRDefault="00F75DB5" w:rsidP="00097A82">
            <w:pPr>
              <w:pStyle w:val="ListParagraph"/>
              <w:numPr>
                <w:ilvl w:val="0"/>
                <w:numId w:val="13"/>
              </w:numPr>
              <w:rPr>
                <w:rFonts w:eastAsia="Calibri" w:cs="Arial"/>
                <w:szCs w:val="24"/>
              </w:rPr>
            </w:pPr>
            <w:r w:rsidRPr="00097A82">
              <w:rPr>
                <w:rFonts w:eastAsia="Calibri" w:cs="Arial"/>
                <w:szCs w:val="24"/>
              </w:rPr>
              <w:t xml:space="preserve">support large and small interventions to create, enhance and improve the management of grassland, woodland, </w:t>
            </w:r>
            <w:r w:rsidRPr="00097A82">
              <w:rPr>
                <w:rFonts w:eastAsia="Calibri" w:cs="Arial"/>
                <w:szCs w:val="24"/>
              </w:rPr>
              <w:lastRenderedPageBreak/>
              <w:t>wetland and other habitats in public green spaces. There will be a particular focus on the creation of new meadow / wood meadow areas.</w:t>
            </w:r>
          </w:p>
          <w:p w14:paraId="3D113047" w14:textId="374B23FF" w:rsidR="00F75DB5" w:rsidRPr="00097A82" w:rsidRDefault="00F75DB5" w:rsidP="00097A82">
            <w:pPr>
              <w:pStyle w:val="ListParagraph"/>
              <w:numPr>
                <w:ilvl w:val="0"/>
                <w:numId w:val="13"/>
              </w:numPr>
              <w:rPr>
                <w:rFonts w:eastAsia="Calibri" w:cs="Arial"/>
                <w:szCs w:val="24"/>
              </w:rPr>
            </w:pPr>
            <w:r w:rsidRPr="00097A82">
              <w:rPr>
                <w:rFonts w:eastAsia="Calibri" w:cs="Arial"/>
                <w:szCs w:val="24"/>
              </w:rPr>
              <w:t>Provide grant funding to P</w:t>
            </w:r>
            <w:r w:rsidR="00030D47">
              <w:rPr>
                <w:rFonts w:eastAsia="Calibri" w:cs="Arial"/>
                <w:szCs w:val="24"/>
              </w:rPr>
              <w:t>ark User Groups (P</w:t>
            </w:r>
            <w:r w:rsidRPr="00097A82">
              <w:rPr>
                <w:rFonts w:eastAsia="Calibri" w:cs="Arial"/>
                <w:szCs w:val="24"/>
              </w:rPr>
              <w:t>UGs</w:t>
            </w:r>
            <w:r w:rsidR="00030D47">
              <w:rPr>
                <w:rFonts w:eastAsia="Calibri" w:cs="Arial"/>
                <w:szCs w:val="24"/>
              </w:rPr>
              <w:t>)</w:t>
            </w:r>
          </w:p>
          <w:p w14:paraId="5775EE01" w14:textId="21DB6739" w:rsidR="00F75DB5" w:rsidRPr="00097A82" w:rsidRDefault="00F75DB5" w:rsidP="00097A82">
            <w:pPr>
              <w:pStyle w:val="ListParagraph"/>
              <w:numPr>
                <w:ilvl w:val="0"/>
                <w:numId w:val="13"/>
              </w:numPr>
              <w:rPr>
                <w:rFonts w:eastAsia="Calibri" w:cs="Arial"/>
                <w:szCs w:val="24"/>
              </w:rPr>
            </w:pPr>
            <w:r w:rsidRPr="00097A82">
              <w:rPr>
                <w:rFonts w:eastAsia="Calibri" w:cs="Arial"/>
                <w:szCs w:val="24"/>
              </w:rPr>
              <w:t xml:space="preserve">Employ </w:t>
            </w:r>
            <w:r w:rsidR="00097A82" w:rsidRPr="00097A82">
              <w:rPr>
                <w:rFonts w:eastAsia="Calibri" w:cs="Arial"/>
                <w:szCs w:val="24"/>
              </w:rPr>
              <w:t xml:space="preserve">a </w:t>
            </w:r>
            <w:r w:rsidRPr="00097A82">
              <w:rPr>
                <w:rFonts w:eastAsia="Calibri" w:cs="Arial"/>
                <w:szCs w:val="24"/>
              </w:rPr>
              <w:t>project officer to assist in delivery</w:t>
            </w:r>
          </w:p>
          <w:p w14:paraId="623890E0" w14:textId="77777777" w:rsidR="00F75DB5" w:rsidRPr="00AF64B9" w:rsidRDefault="00F75DB5">
            <w:pPr>
              <w:rPr>
                <w:rFonts w:cs="Arial"/>
                <w:color w:val="000000"/>
                <w:szCs w:val="24"/>
                <w:lang w:eastAsia="en-GB"/>
              </w:rPr>
            </w:pPr>
          </w:p>
          <w:p w14:paraId="2F1ACC86" w14:textId="75630797" w:rsidR="00F75DB5" w:rsidRPr="00AF64B9" w:rsidRDefault="00F75DB5">
            <w:pPr>
              <w:rPr>
                <w:rFonts w:cs="Arial"/>
                <w:color w:val="000000"/>
                <w:szCs w:val="24"/>
                <w:lang w:eastAsia="en-GB"/>
              </w:rPr>
            </w:pPr>
            <w:r w:rsidRPr="00AF64B9">
              <w:rPr>
                <w:rFonts w:cs="Arial"/>
                <w:color w:val="000000"/>
                <w:szCs w:val="24"/>
                <w:lang w:eastAsia="en-GB"/>
              </w:rPr>
              <w:t>Revenue funding</w:t>
            </w:r>
            <w:r w:rsidR="00097A82">
              <w:rPr>
                <w:rFonts w:cs="Arial"/>
                <w:color w:val="000000"/>
                <w:szCs w:val="24"/>
                <w:lang w:eastAsia="en-GB"/>
              </w:rPr>
              <w:t xml:space="preserve"> will be used</w:t>
            </w:r>
            <w:r w:rsidRPr="00AF64B9">
              <w:rPr>
                <w:rFonts w:cs="Arial"/>
                <w:color w:val="000000"/>
                <w:szCs w:val="24"/>
                <w:lang w:eastAsia="en-GB"/>
              </w:rPr>
              <w:t xml:space="preserve"> to support P</w:t>
            </w:r>
            <w:r w:rsidR="00F55D82">
              <w:rPr>
                <w:rFonts w:cs="Arial"/>
                <w:color w:val="000000"/>
                <w:szCs w:val="24"/>
                <w:lang w:eastAsia="en-GB"/>
              </w:rPr>
              <w:t>UGs</w:t>
            </w:r>
            <w:r w:rsidRPr="00AF64B9">
              <w:rPr>
                <w:rFonts w:cs="Arial"/>
                <w:color w:val="000000"/>
                <w:szCs w:val="24"/>
                <w:lang w:eastAsia="en-GB"/>
              </w:rPr>
              <w:t>, and H</w:t>
            </w:r>
            <w:r w:rsidR="00F55D82">
              <w:rPr>
                <w:rFonts w:cs="Arial"/>
                <w:color w:val="000000"/>
                <w:szCs w:val="24"/>
                <w:lang w:eastAsia="en-GB"/>
              </w:rPr>
              <w:t xml:space="preserve">arrow Nature Conservation </w:t>
            </w:r>
            <w:r w:rsidR="00420111">
              <w:rPr>
                <w:rFonts w:cs="Arial"/>
                <w:color w:val="000000"/>
                <w:szCs w:val="24"/>
                <w:lang w:eastAsia="en-GB"/>
              </w:rPr>
              <w:t xml:space="preserve">Forum </w:t>
            </w:r>
            <w:r w:rsidR="00420111" w:rsidRPr="00AF64B9">
              <w:rPr>
                <w:rFonts w:cs="Arial"/>
                <w:color w:val="000000"/>
                <w:szCs w:val="24"/>
                <w:lang w:eastAsia="en-GB"/>
              </w:rPr>
              <w:t>volunteers</w:t>
            </w:r>
            <w:r w:rsidRPr="00AF64B9">
              <w:rPr>
                <w:rFonts w:cs="Arial"/>
                <w:color w:val="000000"/>
                <w:szCs w:val="24"/>
                <w:lang w:eastAsia="en-GB"/>
              </w:rPr>
              <w:t>, through appropriate training e.g. in the use of equipment.</w:t>
            </w:r>
          </w:p>
        </w:tc>
        <w:tc>
          <w:tcPr>
            <w:tcW w:w="1551" w:type="dxa"/>
            <w:shd w:val="clear" w:color="auto" w:fill="auto"/>
            <w:vAlign w:val="center"/>
          </w:tcPr>
          <w:p w14:paraId="322500C7" w14:textId="1F6A2F3C" w:rsidR="00F75DB5" w:rsidRPr="00AF64B9" w:rsidRDefault="00A942AF" w:rsidP="00AF5618">
            <w:pPr>
              <w:rPr>
                <w:rFonts w:cs="Arial"/>
                <w:szCs w:val="24"/>
                <w:lang w:eastAsia="en-GB"/>
              </w:rPr>
            </w:pPr>
            <w:r>
              <w:rPr>
                <w:rFonts w:cs="Arial"/>
                <w:szCs w:val="24"/>
                <w:lang w:eastAsia="en-GB"/>
              </w:rPr>
              <w:lastRenderedPageBreak/>
              <w:t>£182,400</w:t>
            </w:r>
          </w:p>
        </w:tc>
        <w:tc>
          <w:tcPr>
            <w:tcW w:w="1701" w:type="dxa"/>
            <w:shd w:val="clear" w:color="auto" w:fill="auto"/>
            <w:noWrap/>
            <w:vAlign w:val="center"/>
          </w:tcPr>
          <w:p w14:paraId="509BB2CD" w14:textId="3AF63096" w:rsidR="00F75DB5" w:rsidRPr="00AF64B9" w:rsidRDefault="008736D0">
            <w:pPr>
              <w:jc w:val="center"/>
              <w:rPr>
                <w:rFonts w:cs="Arial"/>
                <w:szCs w:val="24"/>
                <w:lang w:eastAsia="en-GB"/>
              </w:rPr>
            </w:pPr>
            <w:r>
              <w:rPr>
                <w:rFonts w:cs="Arial"/>
                <w:szCs w:val="24"/>
                <w:lang w:eastAsia="en-GB"/>
              </w:rPr>
              <w:t>£</w:t>
            </w:r>
            <w:r w:rsidR="00030D47">
              <w:rPr>
                <w:rFonts w:cs="Arial"/>
                <w:szCs w:val="24"/>
                <w:lang w:eastAsia="en-GB"/>
              </w:rPr>
              <w:t>22,080</w:t>
            </w:r>
          </w:p>
        </w:tc>
        <w:tc>
          <w:tcPr>
            <w:tcW w:w="1418" w:type="dxa"/>
            <w:shd w:val="clear" w:color="auto" w:fill="auto"/>
            <w:noWrap/>
            <w:vAlign w:val="center"/>
            <w:hideMark/>
          </w:tcPr>
          <w:p w14:paraId="00273A85" w14:textId="77777777" w:rsidR="00F75DB5" w:rsidRPr="00AF64B9" w:rsidRDefault="00F75DB5">
            <w:pPr>
              <w:rPr>
                <w:rFonts w:cs="Arial"/>
                <w:color w:val="000000"/>
                <w:szCs w:val="24"/>
                <w:lang w:eastAsia="en-GB"/>
              </w:rPr>
            </w:pPr>
            <w:r w:rsidRPr="00AF64B9">
              <w:rPr>
                <w:rFonts w:cs="Arial"/>
                <w:color w:val="000000"/>
                <w:szCs w:val="24"/>
                <w:lang w:eastAsia="en-GB"/>
              </w:rPr>
              <w:t>Communities and Place</w:t>
            </w:r>
          </w:p>
        </w:tc>
      </w:tr>
      <w:tr w:rsidR="00030D47" w:rsidRPr="00AF64B9" w14:paraId="668EF82E" w14:textId="77777777" w:rsidTr="00BE7A34">
        <w:trPr>
          <w:trHeight w:val="570"/>
        </w:trPr>
        <w:tc>
          <w:tcPr>
            <w:tcW w:w="1672" w:type="dxa"/>
            <w:shd w:val="clear" w:color="auto" w:fill="auto"/>
            <w:vAlign w:val="center"/>
            <w:hideMark/>
          </w:tcPr>
          <w:p w14:paraId="25400A50" w14:textId="02E3B33C" w:rsidR="00F75DB5" w:rsidRPr="00AF64B9" w:rsidRDefault="00A942AF">
            <w:pPr>
              <w:rPr>
                <w:rFonts w:cs="Arial"/>
                <w:color w:val="000000"/>
                <w:szCs w:val="24"/>
                <w:lang w:eastAsia="en-GB"/>
              </w:rPr>
            </w:pPr>
            <w:r>
              <w:rPr>
                <w:rFonts w:cs="Arial"/>
                <w:color w:val="000000"/>
                <w:szCs w:val="24"/>
                <w:lang w:eastAsia="en-GB"/>
              </w:rPr>
              <w:t>Support</w:t>
            </w:r>
            <w:r w:rsidR="00AF5618">
              <w:rPr>
                <w:rFonts w:cs="Arial"/>
                <w:color w:val="000000"/>
                <w:szCs w:val="24"/>
                <w:lang w:eastAsia="en-GB"/>
              </w:rPr>
              <w:t xml:space="preserve"> for the </w:t>
            </w:r>
            <w:r>
              <w:rPr>
                <w:rFonts w:cs="Arial"/>
                <w:color w:val="000000"/>
                <w:szCs w:val="24"/>
                <w:lang w:eastAsia="en-GB"/>
              </w:rPr>
              <w:t>voluntary sector</w:t>
            </w:r>
          </w:p>
        </w:tc>
        <w:tc>
          <w:tcPr>
            <w:tcW w:w="3009" w:type="dxa"/>
            <w:shd w:val="clear" w:color="auto" w:fill="auto"/>
            <w:vAlign w:val="center"/>
            <w:hideMark/>
          </w:tcPr>
          <w:p w14:paraId="24D872C2" w14:textId="0AAEA4F4" w:rsidR="00F75DB5" w:rsidRPr="00AF64B9" w:rsidRDefault="00F75DB5">
            <w:pPr>
              <w:rPr>
                <w:rFonts w:cs="Arial"/>
                <w:color w:val="000000"/>
                <w:szCs w:val="24"/>
                <w:lang w:eastAsia="en-GB"/>
              </w:rPr>
            </w:pPr>
            <w:r w:rsidRPr="00AF64B9">
              <w:rPr>
                <w:rFonts w:cs="Arial"/>
                <w:color w:val="000000"/>
                <w:szCs w:val="24"/>
                <w:lang w:eastAsia="en-GB"/>
              </w:rPr>
              <w:t xml:space="preserve">Funding will be used to provide support to voluntary groups </w:t>
            </w:r>
            <w:r w:rsidR="00055157">
              <w:rPr>
                <w:rFonts w:cs="Arial"/>
                <w:color w:val="000000"/>
                <w:szCs w:val="24"/>
                <w:lang w:eastAsia="en-GB"/>
              </w:rPr>
              <w:t>(</w:t>
            </w:r>
            <w:r w:rsidRPr="00AF64B9">
              <w:rPr>
                <w:rFonts w:cs="Arial"/>
                <w:color w:val="000000"/>
                <w:szCs w:val="24"/>
                <w:lang w:eastAsia="en-GB"/>
              </w:rPr>
              <w:t>Park User Group</w:t>
            </w:r>
            <w:r w:rsidR="00055157">
              <w:rPr>
                <w:rFonts w:cs="Arial"/>
                <w:color w:val="000000"/>
                <w:szCs w:val="24"/>
                <w:lang w:eastAsia="en-GB"/>
              </w:rPr>
              <w:t>s</w:t>
            </w:r>
            <w:r w:rsidRPr="00AF64B9">
              <w:rPr>
                <w:rFonts w:cs="Arial"/>
                <w:color w:val="000000"/>
                <w:szCs w:val="24"/>
                <w:lang w:eastAsia="en-GB"/>
              </w:rPr>
              <w:t>, Harrow Nature Conservation Forum</w:t>
            </w:r>
            <w:r w:rsidR="00055157">
              <w:rPr>
                <w:rFonts w:cs="Arial"/>
                <w:color w:val="000000"/>
                <w:szCs w:val="24"/>
                <w:lang w:eastAsia="en-GB"/>
              </w:rPr>
              <w:t>)</w:t>
            </w:r>
          </w:p>
        </w:tc>
        <w:tc>
          <w:tcPr>
            <w:tcW w:w="1551" w:type="dxa"/>
            <w:vAlign w:val="center"/>
          </w:tcPr>
          <w:p w14:paraId="1EB75232" w14:textId="1656ED7F" w:rsidR="00F75DB5" w:rsidRPr="00AF64B9" w:rsidRDefault="008736D0">
            <w:pPr>
              <w:jc w:val="center"/>
              <w:rPr>
                <w:rFonts w:cs="Arial"/>
                <w:szCs w:val="24"/>
                <w:lang w:eastAsia="en-GB"/>
              </w:rPr>
            </w:pPr>
            <w:r>
              <w:rPr>
                <w:rFonts w:cs="Arial"/>
                <w:szCs w:val="24"/>
                <w:lang w:eastAsia="en-GB"/>
              </w:rPr>
              <w:t>N/A</w:t>
            </w:r>
          </w:p>
        </w:tc>
        <w:tc>
          <w:tcPr>
            <w:tcW w:w="1701" w:type="dxa"/>
            <w:shd w:val="clear" w:color="auto" w:fill="auto"/>
            <w:noWrap/>
            <w:vAlign w:val="center"/>
            <w:hideMark/>
          </w:tcPr>
          <w:p w14:paraId="79D91A35" w14:textId="77EF9D51" w:rsidR="00F75DB5" w:rsidRPr="00AF64B9" w:rsidRDefault="003C4575">
            <w:pPr>
              <w:jc w:val="center"/>
              <w:rPr>
                <w:rFonts w:cs="Arial"/>
                <w:szCs w:val="24"/>
                <w:lang w:eastAsia="en-GB"/>
              </w:rPr>
            </w:pPr>
            <w:r>
              <w:rPr>
                <w:rFonts w:cs="Arial"/>
                <w:szCs w:val="24"/>
                <w:lang w:eastAsia="en-GB"/>
              </w:rPr>
              <w:t>£77,088</w:t>
            </w:r>
          </w:p>
        </w:tc>
        <w:tc>
          <w:tcPr>
            <w:tcW w:w="1418" w:type="dxa"/>
            <w:shd w:val="clear" w:color="auto" w:fill="auto"/>
            <w:noWrap/>
            <w:vAlign w:val="center"/>
            <w:hideMark/>
          </w:tcPr>
          <w:p w14:paraId="18CF5F7D" w14:textId="77777777" w:rsidR="00F75DB5" w:rsidRPr="00AF64B9" w:rsidRDefault="00F75DB5">
            <w:pPr>
              <w:rPr>
                <w:rFonts w:cs="Arial"/>
                <w:color w:val="000000"/>
                <w:szCs w:val="24"/>
                <w:lang w:eastAsia="en-GB"/>
              </w:rPr>
            </w:pPr>
            <w:r w:rsidRPr="00AF64B9">
              <w:rPr>
                <w:rFonts w:cs="Arial"/>
                <w:color w:val="000000"/>
                <w:szCs w:val="24"/>
                <w:lang w:eastAsia="en-GB"/>
              </w:rPr>
              <w:t>Communities and Place</w:t>
            </w:r>
          </w:p>
        </w:tc>
      </w:tr>
      <w:tr w:rsidR="00A942AF" w:rsidRPr="00AF64B9" w14:paraId="7FDD1200" w14:textId="77777777" w:rsidTr="00BE7A34">
        <w:trPr>
          <w:trHeight w:val="570"/>
        </w:trPr>
        <w:tc>
          <w:tcPr>
            <w:tcW w:w="1672" w:type="dxa"/>
            <w:shd w:val="clear" w:color="auto" w:fill="D6E3BC" w:themeFill="accent3" w:themeFillTint="66"/>
            <w:vAlign w:val="center"/>
          </w:tcPr>
          <w:p w14:paraId="34E0717F" w14:textId="757705C9" w:rsidR="0053759D" w:rsidRPr="00F92E37" w:rsidRDefault="000F02F0" w:rsidP="0053759D">
            <w:pPr>
              <w:rPr>
                <w:rFonts w:cs="Arial"/>
                <w:b/>
                <w:bCs/>
                <w:color w:val="000000"/>
                <w:lang w:eastAsia="en-GB"/>
              </w:rPr>
            </w:pPr>
            <w:r>
              <w:rPr>
                <w:rFonts w:cs="Arial"/>
                <w:b/>
                <w:bCs/>
                <w:color w:val="000000"/>
                <w:lang w:eastAsia="en-GB"/>
              </w:rPr>
              <w:t>PH Sub Total</w:t>
            </w:r>
          </w:p>
        </w:tc>
        <w:tc>
          <w:tcPr>
            <w:tcW w:w="3009" w:type="dxa"/>
            <w:shd w:val="clear" w:color="auto" w:fill="D6E3BC" w:themeFill="accent3" w:themeFillTint="66"/>
            <w:vAlign w:val="center"/>
          </w:tcPr>
          <w:p w14:paraId="216ED9B3" w14:textId="77777777" w:rsidR="0053759D" w:rsidRPr="00AF64B9" w:rsidRDefault="0053759D" w:rsidP="0053759D">
            <w:pPr>
              <w:rPr>
                <w:rFonts w:cs="Arial"/>
                <w:color w:val="000000"/>
                <w:szCs w:val="24"/>
                <w:lang w:eastAsia="en-GB"/>
              </w:rPr>
            </w:pPr>
          </w:p>
        </w:tc>
        <w:tc>
          <w:tcPr>
            <w:tcW w:w="1551" w:type="dxa"/>
            <w:shd w:val="clear" w:color="auto" w:fill="D6E3BC" w:themeFill="accent3" w:themeFillTint="66"/>
            <w:vAlign w:val="center"/>
          </w:tcPr>
          <w:p w14:paraId="34A26339" w14:textId="6B5823D8" w:rsidR="0053759D" w:rsidRPr="006F10EB" w:rsidRDefault="000F02F0" w:rsidP="0053759D">
            <w:pPr>
              <w:jc w:val="center"/>
              <w:rPr>
                <w:rFonts w:cs="Arial"/>
                <w:b/>
                <w:bCs/>
                <w:szCs w:val="24"/>
                <w:lang w:eastAsia="en-GB"/>
              </w:rPr>
            </w:pPr>
            <w:r w:rsidRPr="006F10EB">
              <w:rPr>
                <w:rFonts w:cs="Arial"/>
                <w:b/>
                <w:bCs/>
                <w:szCs w:val="24"/>
                <w:lang w:eastAsia="en-GB"/>
              </w:rPr>
              <w:t>£4</w:t>
            </w:r>
            <w:r w:rsidR="00C80200">
              <w:rPr>
                <w:rFonts w:cs="Arial"/>
                <w:b/>
                <w:bCs/>
                <w:szCs w:val="24"/>
                <w:lang w:eastAsia="en-GB"/>
              </w:rPr>
              <w:t>17,346</w:t>
            </w:r>
          </w:p>
        </w:tc>
        <w:tc>
          <w:tcPr>
            <w:tcW w:w="1701" w:type="dxa"/>
            <w:shd w:val="clear" w:color="auto" w:fill="D6E3BC" w:themeFill="accent3" w:themeFillTint="66"/>
            <w:noWrap/>
            <w:vAlign w:val="center"/>
          </w:tcPr>
          <w:p w14:paraId="54C54837" w14:textId="1AF80B01" w:rsidR="000F2DEC" w:rsidRPr="000F2DEC" w:rsidRDefault="006F10EB" w:rsidP="000F2DEC">
            <w:pPr>
              <w:jc w:val="center"/>
              <w:rPr>
                <w:rFonts w:cs="Arial"/>
                <w:b/>
                <w:bCs/>
                <w:color w:val="000000"/>
                <w:szCs w:val="24"/>
                <w:lang w:eastAsia="en-GB"/>
              </w:rPr>
            </w:pPr>
            <w:r>
              <w:rPr>
                <w:rFonts w:cs="Arial"/>
                <w:b/>
                <w:bCs/>
                <w:color w:val="000000"/>
                <w:szCs w:val="24"/>
                <w:lang w:eastAsia="en-GB"/>
              </w:rPr>
              <w:t>£14</w:t>
            </w:r>
            <w:r w:rsidR="00C80200">
              <w:rPr>
                <w:rFonts w:cs="Arial"/>
                <w:b/>
                <w:bCs/>
                <w:color w:val="000000"/>
                <w:szCs w:val="24"/>
                <w:lang w:eastAsia="en-GB"/>
              </w:rPr>
              <w:t>7</w:t>
            </w:r>
            <w:r>
              <w:rPr>
                <w:rFonts w:cs="Arial"/>
                <w:b/>
                <w:bCs/>
                <w:color w:val="000000"/>
                <w:szCs w:val="24"/>
                <w:lang w:eastAsia="en-GB"/>
              </w:rPr>
              <w:t>,</w:t>
            </w:r>
            <w:r w:rsidR="00C80200">
              <w:rPr>
                <w:rFonts w:cs="Arial"/>
                <w:b/>
                <w:bCs/>
                <w:color w:val="000000"/>
                <w:szCs w:val="24"/>
                <w:lang w:eastAsia="en-GB"/>
              </w:rPr>
              <w:t>306</w:t>
            </w:r>
          </w:p>
        </w:tc>
        <w:tc>
          <w:tcPr>
            <w:tcW w:w="1418" w:type="dxa"/>
            <w:shd w:val="clear" w:color="auto" w:fill="D6E3BC" w:themeFill="accent3" w:themeFillTint="66"/>
            <w:noWrap/>
            <w:vAlign w:val="center"/>
          </w:tcPr>
          <w:p w14:paraId="2F703CE6" w14:textId="77777777" w:rsidR="0053759D" w:rsidRPr="00AF64B9" w:rsidRDefault="0053759D" w:rsidP="0053759D">
            <w:pPr>
              <w:rPr>
                <w:rFonts w:cs="Arial"/>
                <w:color w:val="000000"/>
                <w:szCs w:val="24"/>
                <w:lang w:eastAsia="en-GB"/>
              </w:rPr>
            </w:pPr>
          </w:p>
        </w:tc>
      </w:tr>
      <w:tr w:rsidR="00CC4746" w:rsidRPr="00AF64B9" w14:paraId="108A0341" w14:textId="77777777" w:rsidTr="00BE7A34">
        <w:trPr>
          <w:trHeight w:val="570"/>
        </w:trPr>
        <w:tc>
          <w:tcPr>
            <w:tcW w:w="9351" w:type="dxa"/>
            <w:gridSpan w:val="5"/>
            <w:shd w:val="clear" w:color="auto" w:fill="D9D9D9" w:themeFill="background1" w:themeFillShade="D9"/>
            <w:vAlign w:val="center"/>
          </w:tcPr>
          <w:p w14:paraId="545308EB" w14:textId="6E79AEE0" w:rsidR="00CC4746" w:rsidRPr="00AF64B9" w:rsidRDefault="00CC4746" w:rsidP="0053759D">
            <w:pPr>
              <w:rPr>
                <w:rFonts w:cs="Arial"/>
                <w:color w:val="000000"/>
                <w:szCs w:val="24"/>
                <w:lang w:eastAsia="en-GB"/>
              </w:rPr>
            </w:pPr>
            <w:r w:rsidRPr="00F92E37">
              <w:rPr>
                <w:rFonts w:cs="Arial"/>
                <w:b/>
                <w:bCs/>
                <w:color w:val="000000"/>
                <w:lang w:eastAsia="en-GB"/>
              </w:rPr>
              <w:t>Environment and Community Safety Portfolio</w:t>
            </w:r>
          </w:p>
        </w:tc>
      </w:tr>
      <w:tr w:rsidR="00030D47" w:rsidRPr="00AF64B9" w14:paraId="1F280F51" w14:textId="77777777" w:rsidTr="00BE7A34">
        <w:trPr>
          <w:trHeight w:val="570"/>
        </w:trPr>
        <w:tc>
          <w:tcPr>
            <w:tcW w:w="1672" w:type="dxa"/>
            <w:shd w:val="clear" w:color="auto" w:fill="auto"/>
            <w:vAlign w:val="center"/>
            <w:hideMark/>
          </w:tcPr>
          <w:p w14:paraId="15D3D847" w14:textId="77777777" w:rsidR="0053759D" w:rsidRPr="00AF64B9" w:rsidRDefault="0053759D" w:rsidP="0053759D">
            <w:pPr>
              <w:rPr>
                <w:rFonts w:cs="Arial"/>
                <w:color w:val="000000"/>
                <w:szCs w:val="24"/>
                <w:lang w:eastAsia="en-GB"/>
              </w:rPr>
            </w:pPr>
            <w:r w:rsidRPr="00AF64B9">
              <w:rPr>
                <w:rFonts w:cs="Arial"/>
                <w:color w:val="000000"/>
                <w:szCs w:val="24"/>
                <w:lang w:eastAsia="en-GB"/>
              </w:rPr>
              <w:t xml:space="preserve">Energy advice and support for cost of living </w:t>
            </w:r>
          </w:p>
        </w:tc>
        <w:tc>
          <w:tcPr>
            <w:tcW w:w="3009" w:type="dxa"/>
            <w:shd w:val="clear" w:color="auto" w:fill="auto"/>
            <w:vAlign w:val="center"/>
            <w:hideMark/>
          </w:tcPr>
          <w:p w14:paraId="7B1CCDEB" w14:textId="77777777" w:rsidR="0053759D" w:rsidRPr="00AF64B9" w:rsidRDefault="0053759D" w:rsidP="0053759D">
            <w:pPr>
              <w:rPr>
                <w:rFonts w:cs="Arial"/>
                <w:color w:val="000000"/>
                <w:szCs w:val="24"/>
                <w:lang w:eastAsia="en-GB"/>
              </w:rPr>
            </w:pPr>
            <w:r w:rsidRPr="00AF64B9">
              <w:rPr>
                <w:rFonts w:cs="Arial"/>
                <w:color w:val="000000"/>
                <w:szCs w:val="24"/>
                <w:lang w:eastAsia="en-GB"/>
              </w:rPr>
              <w:t xml:space="preserve">Funding will be used to </w:t>
            </w:r>
          </w:p>
          <w:p w14:paraId="1B149E12" w14:textId="77777777" w:rsidR="0053759D" w:rsidRPr="00521A51" w:rsidRDefault="0053759D" w:rsidP="00521A51">
            <w:pPr>
              <w:pStyle w:val="ListParagraph"/>
              <w:numPr>
                <w:ilvl w:val="0"/>
                <w:numId w:val="14"/>
              </w:numPr>
              <w:rPr>
                <w:rFonts w:cs="Arial"/>
                <w:color w:val="000000"/>
                <w:szCs w:val="24"/>
                <w:lang w:eastAsia="en-GB"/>
              </w:rPr>
            </w:pPr>
            <w:r w:rsidRPr="00521A51">
              <w:rPr>
                <w:rFonts w:cs="Arial"/>
                <w:color w:val="000000"/>
                <w:szCs w:val="24"/>
                <w:lang w:eastAsia="en-GB"/>
              </w:rPr>
              <w:t xml:space="preserve">Provide advice via </w:t>
            </w:r>
            <w:r w:rsidRPr="00521A51">
              <w:rPr>
                <w:rFonts w:eastAsia="Calibri" w:cs="Arial"/>
                <w:szCs w:val="24"/>
              </w:rPr>
              <w:t xml:space="preserve">Seasonal Health Intervention Network </w:t>
            </w:r>
            <w:r w:rsidRPr="00521A51">
              <w:rPr>
                <w:rFonts w:cs="Arial"/>
                <w:color w:val="000000"/>
                <w:szCs w:val="24"/>
                <w:lang w:eastAsia="en-GB"/>
              </w:rPr>
              <w:t>SHINE to promote measures to increase energy efficiency measures e.g. insulation, etc</w:t>
            </w:r>
          </w:p>
          <w:p w14:paraId="0100C906" w14:textId="77777777" w:rsidR="0053759D" w:rsidRPr="00521A51" w:rsidRDefault="0053759D" w:rsidP="00521A51">
            <w:pPr>
              <w:pStyle w:val="ListParagraph"/>
              <w:numPr>
                <w:ilvl w:val="0"/>
                <w:numId w:val="14"/>
              </w:numPr>
              <w:rPr>
                <w:rFonts w:cs="Arial"/>
                <w:color w:val="000000"/>
                <w:szCs w:val="24"/>
                <w:lang w:eastAsia="en-GB"/>
              </w:rPr>
            </w:pPr>
            <w:r w:rsidRPr="00521A51">
              <w:rPr>
                <w:rFonts w:cs="Arial"/>
                <w:color w:val="000000"/>
                <w:szCs w:val="24"/>
                <w:lang w:eastAsia="en-GB"/>
              </w:rPr>
              <w:t xml:space="preserve">Employ a dedicated support officer to promote energy </w:t>
            </w:r>
            <w:r w:rsidRPr="00521A51">
              <w:rPr>
                <w:rFonts w:cs="Arial"/>
                <w:color w:val="000000"/>
                <w:szCs w:val="24"/>
                <w:lang w:eastAsia="en-GB"/>
              </w:rPr>
              <w:lastRenderedPageBreak/>
              <w:t>efficiency and retrofit opportunities</w:t>
            </w:r>
          </w:p>
        </w:tc>
        <w:tc>
          <w:tcPr>
            <w:tcW w:w="1551" w:type="dxa"/>
            <w:vAlign w:val="center"/>
          </w:tcPr>
          <w:p w14:paraId="162C8C4D" w14:textId="63D5CD2C" w:rsidR="0053759D" w:rsidRPr="00AF64B9" w:rsidRDefault="003C4575" w:rsidP="003C4575">
            <w:pPr>
              <w:jc w:val="center"/>
              <w:rPr>
                <w:rFonts w:cs="Arial"/>
                <w:szCs w:val="24"/>
                <w:lang w:eastAsia="en-GB"/>
              </w:rPr>
            </w:pPr>
            <w:r>
              <w:rPr>
                <w:rFonts w:cs="Arial"/>
                <w:szCs w:val="24"/>
                <w:lang w:eastAsia="en-GB"/>
              </w:rPr>
              <w:lastRenderedPageBreak/>
              <w:t>N/A</w:t>
            </w:r>
          </w:p>
        </w:tc>
        <w:tc>
          <w:tcPr>
            <w:tcW w:w="1701" w:type="dxa"/>
            <w:shd w:val="clear" w:color="auto" w:fill="auto"/>
            <w:noWrap/>
            <w:vAlign w:val="center"/>
            <w:hideMark/>
          </w:tcPr>
          <w:p w14:paraId="460F2464" w14:textId="6373F608" w:rsidR="0053759D" w:rsidRPr="00AF64B9" w:rsidRDefault="003C4575" w:rsidP="0053759D">
            <w:pPr>
              <w:jc w:val="center"/>
              <w:rPr>
                <w:rFonts w:cs="Arial"/>
                <w:szCs w:val="24"/>
                <w:lang w:eastAsia="en-GB"/>
              </w:rPr>
            </w:pPr>
            <w:r>
              <w:rPr>
                <w:rFonts w:cs="Arial"/>
                <w:szCs w:val="24"/>
                <w:lang w:eastAsia="en-GB"/>
              </w:rPr>
              <w:t>£157,440</w:t>
            </w:r>
          </w:p>
        </w:tc>
        <w:tc>
          <w:tcPr>
            <w:tcW w:w="1418" w:type="dxa"/>
            <w:shd w:val="clear" w:color="auto" w:fill="auto"/>
            <w:noWrap/>
            <w:vAlign w:val="center"/>
            <w:hideMark/>
          </w:tcPr>
          <w:p w14:paraId="4DF3DB12" w14:textId="77777777" w:rsidR="0053759D" w:rsidRPr="00AF64B9" w:rsidRDefault="0053759D" w:rsidP="0053759D">
            <w:pPr>
              <w:rPr>
                <w:rFonts w:cs="Arial"/>
                <w:color w:val="000000"/>
                <w:szCs w:val="24"/>
                <w:lang w:eastAsia="en-GB"/>
              </w:rPr>
            </w:pPr>
            <w:r w:rsidRPr="00AF64B9">
              <w:rPr>
                <w:rFonts w:cs="Arial"/>
                <w:color w:val="000000"/>
                <w:szCs w:val="24"/>
                <w:lang w:eastAsia="en-GB"/>
              </w:rPr>
              <w:t>Communities and Place</w:t>
            </w:r>
          </w:p>
        </w:tc>
      </w:tr>
      <w:tr w:rsidR="00A942AF" w:rsidRPr="00AF64B9" w14:paraId="6A54ABD9" w14:textId="77777777" w:rsidTr="00BE7A34">
        <w:trPr>
          <w:trHeight w:val="582"/>
        </w:trPr>
        <w:tc>
          <w:tcPr>
            <w:tcW w:w="1672" w:type="dxa"/>
            <w:shd w:val="clear" w:color="auto" w:fill="D6E3BC" w:themeFill="accent3" w:themeFillTint="66"/>
            <w:vAlign w:val="center"/>
            <w:hideMark/>
          </w:tcPr>
          <w:p w14:paraId="5EE05EBB" w14:textId="231DA01E" w:rsidR="0053759D" w:rsidRPr="00AF64B9" w:rsidRDefault="0053759D" w:rsidP="0053759D">
            <w:pPr>
              <w:rPr>
                <w:rFonts w:cs="Arial"/>
                <w:b/>
                <w:bCs/>
                <w:color w:val="000000"/>
                <w:szCs w:val="24"/>
                <w:lang w:eastAsia="en-GB"/>
              </w:rPr>
            </w:pPr>
            <w:r w:rsidRPr="00AF64B9">
              <w:rPr>
                <w:rFonts w:cs="Arial"/>
                <w:b/>
                <w:bCs/>
                <w:color w:val="000000"/>
                <w:szCs w:val="24"/>
                <w:lang w:eastAsia="en-GB"/>
              </w:rPr>
              <w:t>PH Sub Total</w:t>
            </w:r>
          </w:p>
        </w:tc>
        <w:tc>
          <w:tcPr>
            <w:tcW w:w="3009" w:type="dxa"/>
            <w:shd w:val="clear" w:color="auto" w:fill="D6E3BC" w:themeFill="accent3" w:themeFillTint="66"/>
            <w:vAlign w:val="center"/>
            <w:hideMark/>
          </w:tcPr>
          <w:p w14:paraId="609F10A3" w14:textId="77777777" w:rsidR="0053759D" w:rsidRPr="00AF64B9" w:rsidRDefault="0053759D" w:rsidP="0053759D">
            <w:pPr>
              <w:rPr>
                <w:rFonts w:cs="Arial"/>
                <w:b/>
                <w:bCs/>
                <w:color w:val="000000"/>
                <w:szCs w:val="24"/>
                <w:lang w:eastAsia="en-GB"/>
              </w:rPr>
            </w:pPr>
          </w:p>
        </w:tc>
        <w:tc>
          <w:tcPr>
            <w:tcW w:w="1551" w:type="dxa"/>
            <w:shd w:val="clear" w:color="auto" w:fill="D6E3BC" w:themeFill="accent3" w:themeFillTint="66"/>
            <w:vAlign w:val="center"/>
          </w:tcPr>
          <w:p w14:paraId="514E1BD9" w14:textId="71EADA8B" w:rsidR="0053759D" w:rsidRPr="00AF64B9" w:rsidRDefault="006F10EB" w:rsidP="0053759D">
            <w:pPr>
              <w:jc w:val="center"/>
              <w:rPr>
                <w:rFonts w:cs="Arial"/>
                <w:b/>
                <w:bCs/>
                <w:color w:val="000000"/>
                <w:szCs w:val="24"/>
                <w:lang w:eastAsia="en-GB"/>
              </w:rPr>
            </w:pPr>
            <w:r>
              <w:rPr>
                <w:rFonts w:cs="Arial"/>
                <w:b/>
                <w:bCs/>
                <w:color w:val="000000"/>
                <w:szCs w:val="24"/>
                <w:lang w:eastAsia="en-GB"/>
              </w:rPr>
              <w:t>N/A</w:t>
            </w:r>
          </w:p>
        </w:tc>
        <w:tc>
          <w:tcPr>
            <w:tcW w:w="1701" w:type="dxa"/>
            <w:shd w:val="clear" w:color="auto" w:fill="D6E3BC" w:themeFill="accent3" w:themeFillTint="66"/>
            <w:noWrap/>
            <w:vAlign w:val="center"/>
          </w:tcPr>
          <w:p w14:paraId="3C8F3D7B" w14:textId="7D41D732" w:rsidR="0053759D" w:rsidRPr="00AF64B9" w:rsidRDefault="007039B4" w:rsidP="0053759D">
            <w:pPr>
              <w:jc w:val="center"/>
              <w:rPr>
                <w:rFonts w:cs="Arial"/>
                <w:b/>
                <w:bCs/>
                <w:color w:val="000000"/>
                <w:szCs w:val="24"/>
                <w:lang w:eastAsia="en-GB"/>
              </w:rPr>
            </w:pPr>
            <w:r>
              <w:rPr>
                <w:rFonts w:cs="Arial"/>
                <w:b/>
                <w:bCs/>
                <w:color w:val="000000"/>
                <w:szCs w:val="24"/>
                <w:lang w:eastAsia="en-GB"/>
              </w:rPr>
              <w:t>£157,440</w:t>
            </w:r>
          </w:p>
        </w:tc>
        <w:tc>
          <w:tcPr>
            <w:tcW w:w="1418" w:type="dxa"/>
            <w:shd w:val="clear" w:color="auto" w:fill="D6E3BC" w:themeFill="accent3" w:themeFillTint="66"/>
            <w:noWrap/>
            <w:vAlign w:val="center"/>
            <w:hideMark/>
          </w:tcPr>
          <w:p w14:paraId="5E3675DE" w14:textId="77777777" w:rsidR="0053759D" w:rsidRPr="00AF64B9" w:rsidRDefault="0053759D" w:rsidP="0053759D">
            <w:pPr>
              <w:rPr>
                <w:rFonts w:cs="Arial"/>
                <w:b/>
                <w:bCs/>
                <w:color w:val="000000"/>
                <w:szCs w:val="24"/>
                <w:lang w:eastAsia="en-GB"/>
              </w:rPr>
            </w:pPr>
            <w:r w:rsidRPr="00AF64B9">
              <w:rPr>
                <w:rFonts w:cs="Arial"/>
                <w:b/>
                <w:bCs/>
                <w:color w:val="000000"/>
                <w:szCs w:val="24"/>
                <w:lang w:eastAsia="en-GB"/>
              </w:rPr>
              <w:t> </w:t>
            </w:r>
          </w:p>
        </w:tc>
      </w:tr>
      <w:tr w:rsidR="00CC4746" w:rsidRPr="00AF64B9" w14:paraId="1BFD04F1" w14:textId="77777777" w:rsidTr="00BE7A34">
        <w:tblPrEx>
          <w:tblCellMar>
            <w:left w:w="0" w:type="dxa"/>
            <w:right w:w="0" w:type="dxa"/>
          </w:tblCellMar>
        </w:tblPrEx>
        <w:trPr>
          <w:trHeight w:val="570"/>
        </w:trPr>
        <w:tc>
          <w:tcPr>
            <w:tcW w:w="9351" w:type="dxa"/>
            <w:gridSpan w:val="5"/>
            <w:shd w:val="clear" w:color="auto" w:fill="D9D9D9" w:themeFill="background1" w:themeFillShade="D9"/>
            <w:tcMar>
              <w:top w:w="0" w:type="dxa"/>
              <w:left w:w="108" w:type="dxa"/>
              <w:bottom w:w="0" w:type="dxa"/>
              <w:right w:w="108" w:type="dxa"/>
            </w:tcMar>
            <w:vAlign w:val="center"/>
          </w:tcPr>
          <w:p w14:paraId="40B2874A" w14:textId="17482B01" w:rsidR="00CC4746" w:rsidRPr="00AF64B9" w:rsidRDefault="00CC4746" w:rsidP="0053759D">
            <w:pPr>
              <w:rPr>
                <w:rFonts w:cs="Arial"/>
                <w:szCs w:val="24"/>
              </w:rPr>
            </w:pPr>
            <w:r w:rsidRPr="00AF64B9">
              <w:rPr>
                <w:rFonts w:cs="Arial"/>
                <w:b/>
                <w:bCs/>
                <w:color w:val="000000"/>
                <w:szCs w:val="24"/>
                <w:lang w:eastAsia="en-GB"/>
              </w:rPr>
              <w:t>Business, Employment &amp; Property Portfolio</w:t>
            </w:r>
          </w:p>
        </w:tc>
      </w:tr>
      <w:tr w:rsidR="00030D47" w:rsidRPr="00AF64B9" w14:paraId="3869AA34" w14:textId="77777777" w:rsidTr="00BE7A34">
        <w:tblPrEx>
          <w:tblCellMar>
            <w:left w:w="0" w:type="dxa"/>
            <w:right w:w="0" w:type="dxa"/>
          </w:tblCellMar>
        </w:tblPrEx>
        <w:trPr>
          <w:trHeight w:val="570"/>
        </w:trPr>
        <w:tc>
          <w:tcPr>
            <w:tcW w:w="1672" w:type="dxa"/>
            <w:tcMar>
              <w:top w:w="0" w:type="dxa"/>
              <w:left w:w="108" w:type="dxa"/>
              <w:bottom w:w="0" w:type="dxa"/>
              <w:right w:w="108" w:type="dxa"/>
            </w:tcMar>
            <w:vAlign w:val="center"/>
            <w:hideMark/>
          </w:tcPr>
          <w:p w14:paraId="54B349F9" w14:textId="77777777" w:rsidR="0053759D" w:rsidRPr="00AF64B9" w:rsidRDefault="0053759D" w:rsidP="0053759D">
            <w:pPr>
              <w:rPr>
                <w:rFonts w:cs="Arial"/>
                <w:szCs w:val="24"/>
              </w:rPr>
            </w:pPr>
            <w:r w:rsidRPr="00AF64B9">
              <w:rPr>
                <w:rFonts w:cs="Arial"/>
                <w:szCs w:val="24"/>
              </w:rPr>
              <w:t>Harrow High Street Fund</w:t>
            </w:r>
          </w:p>
        </w:tc>
        <w:tc>
          <w:tcPr>
            <w:tcW w:w="3009" w:type="dxa"/>
          </w:tcPr>
          <w:p w14:paraId="7D29A6AD" w14:textId="77777777" w:rsidR="0053759D" w:rsidRPr="00AF64B9" w:rsidRDefault="0053759D" w:rsidP="0053759D">
            <w:pPr>
              <w:rPr>
                <w:rFonts w:cs="Arial"/>
                <w:szCs w:val="24"/>
              </w:rPr>
            </w:pPr>
            <w:r w:rsidRPr="00AF64B9">
              <w:rPr>
                <w:rFonts w:cs="Arial"/>
                <w:szCs w:val="24"/>
              </w:rPr>
              <w:t>Funding will be used as additional capital funding to support the existing Harrow High Street Fund</w:t>
            </w:r>
          </w:p>
        </w:tc>
        <w:tc>
          <w:tcPr>
            <w:tcW w:w="1551" w:type="dxa"/>
            <w:vAlign w:val="center"/>
          </w:tcPr>
          <w:p w14:paraId="41EC3727" w14:textId="536B8833" w:rsidR="0053759D" w:rsidRPr="00AF64B9" w:rsidRDefault="003C4575" w:rsidP="0053759D">
            <w:pPr>
              <w:jc w:val="center"/>
              <w:rPr>
                <w:rFonts w:cs="Arial"/>
                <w:szCs w:val="24"/>
              </w:rPr>
            </w:pPr>
            <w:r>
              <w:rPr>
                <w:rFonts w:cs="Arial"/>
                <w:szCs w:val="24"/>
              </w:rPr>
              <w:t>£2</w:t>
            </w:r>
            <w:r w:rsidR="00960CD2">
              <w:rPr>
                <w:rFonts w:cs="Arial"/>
                <w:szCs w:val="24"/>
              </w:rPr>
              <w:t>75,</w:t>
            </w:r>
            <w:r w:rsidR="00C374D1">
              <w:rPr>
                <w:rFonts w:cs="Arial"/>
                <w:szCs w:val="24"/>
              </w:rPr>
              <w:t>600</w:t>
            </w:r>
          </w:p>
        </w:tc>
        <w:tc>
          <w:tcPr>
            <w:tcW w:w="1701" w:type="dxa"/>
            <w:noWrap/>
            <w:tcMar>
              <w:top w:w="0" w:type="dxa"/>
              <w:left w:w="108" w:type="dxa"/>
              <w:bottom w:w="0" w:type="dxa"/>
              <w:right w:w="108" w:type="dxa"/>
            </w:tcMar>
            <w:vAlign w:val="center"/>
          </w:tcPr>
          <w:p w14:paraId="1E0CBA32" w14:textId="507B2543" w:rsidR="0053759D" w:rsidRPr="00AF64B9" w:rsidRDefault="003C4575" w:rsidP="0053759D">
            <w:pPr>
              <w:jc w:val="center"/>
              <w:rPr>
                <w:rFonts w:cs="Arial"/>
                <w:szCs w:val="24"/>
              </w:rPr>
            </w:pPr>
            <w:r>
              <w:rPr>
                <w:rFonts w:cs="Arial"/>
                <w:szCs w:val="24"/>
              </w:rPr>
              <w:t>£</w:t>
            </w:r>
            <w:r w:rsidR="00C374D1">
              <w:rPr>
                <w:rFonts w:cs="Arial"/>
                <w:szCs w:val="24"/>
              </w:rPr>
              <w:t>30,528</w:t>
            </w:r>
          </w:p>
        </w:tc>
        <w:tc>
          <w:tcPr>
            <w:tcW w:w="1418" w:type="dxa"/>
            <w:noWrap/>
            <w:tcMar>
              <w:top w:w="0" w:type="dxa"/>
              <w:left w:w="108" w:type="dxa"/>
              <w:bottom w:w="0" w:type="dxa"/>
              <w:right w:w="108" w:type="dxa"/>
            </w:tcMar>
            <w:vAlign w:val="center"/>
            <w:hideMark/>
          </w:tcPr>
          <w:p w14:paraId="694FE0A3" w14:textId="77777777" w:rsidR="0053759D" w:rsidRPr="00AF64B9" w:rsidRDefault="0053759D" w:rsidP="0053759D">
            <w:pPr>
              <w:rPr>
                <w:rFonts w:cs="Arial"/>
                <w:szCs w:val="24"/>
              </w:rPr>
            </w:pPr>
            <w:r w:rsidRPr="00AF64B9">
              <w:rPr>
                <w:rFonts w:cs="Arial"/>
                <w:szCs w:val="24"/>
              </w:rPr>
              <w:t>Communities and Place</w:t>
            </w:r>
          </w:p>
        </w:tc>
      </w:tr>
      <w:tr w:rsidR="00030D47" w:rsidRPr="00AF64B9" w14:paraId="298D3F1A" w14:textId="77777777" w:rsidTr="00BE7A34">
        <w:tblPrEx>
          <w:tblCellMar>
            <w:left w:w="0" w:type="dxa"/>
            <w:right w:w="0" w:type="dxa"/>
          </w:tblCellMar>
        </w:tblPrEx>
        <w:trPr>
          <w:trHeight w:val="570"/>
        </w:trPr>
        <w:tc>
          <w:tcPr>
            <w:tcW w:w="1672" w:type="dxa"/>
            <w:tcMar>
              <w:top w:w="0" w:type="dxa"/>
              <w:left w:w="108" w:type="dxa"/>
              <w:bottom w:w="0" w:type="dxa"/>
              <w:right w:w="108" w:type="dxa"/>
            </w:tcMar>
            <w:vAlign w:val="center"/>
            <w:hideMark/>
          </w:tcPr>
          <w:p w14:paraId="48B35053" w14:textId="77777777" w:rsidR="0053759D" w:rsidRPr="00AF64B9" w:rsidRDefault="0053759D" w:rsidP="0053759D">
            <w:pPr>
              <w:rPr>
                <w:rFonts w:cs="Arial"/>
                <w:szCs w:val="24"/>
              </w:rPr>
            </w:pPr>
            <w:r w:rsidRPr="00AF64B9">
              <w:rPr>
                <w:rFonts w:cs="Arial"/>
                <w:szCs w:val="24"/>
              </w:rPr>
              <w:t>Business Engagement</w:t>
            </w:r>
          </w:p>
        </w:tc>
        <w:tc>
          <w:tcPr>
            <w:tcW w:w="3009" w:type="dxa"/>
            <w:tcBorders>
              <w:top w:val="nil"/>
              <w:left w:val="nil"/>
              <w:bottom w:val="single" w:sz="4" w:space="0" w:color="auto"/>
              <w:right w:val="single" w:sz="4" w:space="0" w:color="auto"/>
            </w:tcBorders>
            <w:shd w:val="clear" w:color="auto" w:fill="auto"/>
            <w:vAlign w:val="center"/>
          </w:tcPr>
          <w:p w14:paraId="221D6C47" w14:textId="6E8185BA" w:rsidR="0053759D" w:rsidRPr="00AF64B9" w:rsidRDefault="00F65B6F" w:rsidP="0053759D">
            <w:pPr>
              <w:rPr>
                <w:rFonts w:cs="Arial"/>
                <w:szCs w:val="24"/>
              </w:rPr>
            </w:pPr>
            <w:r>
              <w:rPr>
                <w:rFonts w:eastAsia="Calibri" w:cs="Arial"/>
                <w:szCs w:val="24"/>
              </w:rPr>
              <w:t>T</w:t>
            </w:r>
            <w:r w:rsidR="0053759D" w:rsidRPr="00AF64B9">
              <w:rPr>
                <w:rFonts w:eastAsia="Calibri" w:cs="Arial"/>
                <w:szCs w:val="24"/>
              </w:rPr>
              <w:t>o raise awareness of business support services</w:t>
            </w:r>
            <w:r>
              <w:rPr>
                <w:rFonts w:eastAsia="Calibri" w:cs="Arial"/>
                <w:szCs w:val="24"/>
              </w:rPr>
              <w:t xml:space="preserve"> </w:t>
            </w:r>
            <w:r w:rsidR="00802442">
              <w:rPr>
                <w:rFonts w:eastAsia="Calibri" w:cs="Arial"/>
                <w:szCs w:val="24"/>
              </w:rPr>
              <w:t>available</w:t>
            </w:r>
          </w:p>
        </w:tc>
        <w:tc>
          <w:tcPr>
            <w:tcW w:w="1551" w:type="dxa"/>
            <w:vAlign w:val="center"/>
          </w:tcPr>
          <w:p w14:paraId="5DCF9763" w14:textId="4D82E120" w:rsidR="0053759D" w:rsidRPr="00AF64B9" w:rsidRDefault="009C6040" w:rsidP="0053759D">
            <w:pPr>
              <w:jc w:val="center"/>
              <w:rPr>
                <w:rFonts w:cs="Arial"/>
                <w:szCs w:val="24"/>
              </w:rPr>
            </w:pPr>
            <w:r>
              <w:rPr>
                <w:rFonts w:cs="Arial"/>
                <w:szCs w:val="24"/>
              </w:rPr>
              <w:t>N/A</w:t>
            </w:r>
          </w:p>
        </w:tc>
        <w:tc>
          <w:tcPr>
            <w:tcW w:w="1701" w:type="dxa"/>
            <w:noWrap/>
            <w:tcMar>
              <w:top w:w="0" w:type="dxa"/>
              <w:left w:w="108" w:type="dxa"/>
              <w:bottom w:w="0" w:type="dxa"/>
              <w:right w:w="108" w:type="dxa"/>
            </w:tcMar>
            <w:vAlign w:val="center"/>
          </w:tcPr>
          <w:p w14:paraId="7FEFA89F" w14:textId="4A591BD6" w:rsidR="0053759D" w:rsidRPr="00AF64B9" w:rsidRDefault="009C6040" w:rsidP="0053759D">
            <w:pPr>
              <w:jc w:val="center"/>
              <w:rPr>
                <w:rFonts w:cs="Arial"/>
                <w:szCs w:val="24"/>
              </w:rPr>
            </w:pPr>
            <w:r>
              <w:rPr>
                <w:rFonts w:cs="Arial"/>
                <w:szCs w:val="24"/>
              </w:rPr>
              <w:t>£81,600</w:t>
            </w:r>
          </w:p>
        </w:tc>
        <w:tc>
          <w:tcPr>
            <w:tcW w:w="1418" w:type="dxa"/>
            <w:noWrap/>
            <w:tcMar>
              <w:top w:w="0" w:type="dxa"/>
              <w:left w:w="108" w:type="dxa"/>
              <w:bottom w:w="0" w:type="dxa"/>
              <w:right w:w="108" w:type="dxa"/>
            </w:tcMar>
            <w:vAlign w:val="center"/>
            <w:hideMark/>
          </w:tcPr>
          <w:p w14:paraId="2824DF0A" w14:textId="77777777" w:rsidR="0053759D" w:rsidRPr="00AF64B9" w:rsidRDefault="0053759D" w:rsidP="0053759D">
            <w:pPr>
              <w:rPr>
                <w:rFonts w:cs="Arial"/>
                <w:szCs w:val="24"/>
              </w:rPr>
            </w:pPr>
            <w:r w:rsidRPr="00AF64B9">
              <w:rPr>
                <w:rFonts w:cs="Arial"/>
                <w:szCs w:val="24"/>
              </w:rPr>
              <w:t>Supporting Local Business</w:t>
            </w:r>
          </w:p>
        </w:tc>
      </w:tr>
      <w:tr w:rsidR="00030D47" w:rsidRPr="00AF64B9" w14:paraId="14DD0363" w14:textId="77777777" w:rsidTr="00BE7A34">
        <w:tblPrEx>
          <w:tblCellMar>
            <w:left w:w="0" w:type="dxa"/>
            <w:right w:w="0" w:type="dxa"/>
          </w:tblCellMar>
        </w:tblPrEx>
        <w:trPr>
          <w:trHeight w:val="570"/>
        </w:trPr>
        <w:tc>
          <w:tcPr>
            <w:tcW w:w="1672" w:type="dxa"/>
            <w:tcMar>
              <w:top w:w="0" w:type="dxa"/>
              <w:left w:w="108" w:type="dxa"/>
              <w:bottom w:w="0" w:type="dxa"/>
              <w:right w:w="108" w:type="dxa"/>
            </w:tcMar>
            <w:vAlign w:val="center"/>
            <w:hideMark/>
          </w:tcPr>
          <w:p w14:paraId="2ABA9254" w14:textId="77777777" w:rsidR="0053759D" w:rsidRPr="00AF64B9" w:rsidRDefault="0053759D" w:rsidP="0053759D">
            <w:pPr>
              <w:rPr>
                <w:rFonts w:cs="Arial"/>
                <w:szCs w:val="24"/>
              </w:rPr>
            </w:pPr>
            <w:r w:rsidRPr="00AF64B9">
              <w:rPr>
                <w:rFonts w:cs="Arial"/>
                <w:szCs w:val="24"/>
              </w:rPr>
              <w:t>Business Support</w:t>
            </w:r>
          </w:p>
        </w:tc>
        <w:tc>
          <w:tcPr>
            <w:tcW w:w="3009" w:type="dxa"/>
            <w:tcBorders>
              <w:top w:val="nil"/>
              <w:left w:val="nil"/>
              <w:bottom w:val="single" w:sz="4" w:space="0" w:color="auto"/>
              <w:right w:val="single" w:sz="4" w:space="0" w:color="auto"/>
            </w:tcBorders>
            <w:shd w:val="clear" w:color="auto" w:fill="auto"/>
            <w:vAlign w:val="center"/>
          </w:tcPr>
          <w:p w14:paraId="528C57BD" w14:textId="2AA7A006" w:rsidR="0053759D" w:rsidRPr="00AF64B9" w:rsidRDefault="0053759D" w:rsidP="0053759D">
            <w:pPr>
              <w:rPr>
                <w:rFonts w:cs="Arial"/>
                <w:szCs w:val="24"/>
              </w:rPr>
            </w:pPr>
            <w:r w:rsidRPr="00AF64B9">
              <w:rPr>
                <w:rFonts w:cs="Arial"/>
                <w:color w:val="000000"/>
                <w:szCs w:val="24"/>
                <w:lang w:eastAsia="en-GB"/>
              </w:rPr>
              <w:t xml:space="preserve">To </w:t>
            </w:r>
            <w:r w:rsidRPr="00AF64B9">
              <w:rPr>
                <w:rFonts w:eastAsia="Calibri" w:cs="Arial"/>
                <w:szCs w:val="24"/>
              </w:rPr>
              <w:t xml:space="preserve">provide tailored business advice to individual businesses </w:t>
            </w:r>
            <w:r w:rsidR="00055157">
              <w:rPr>
                <w:rFonts w:eastAsia="Calibri" w:cs="Arial"/>
                <w:szCs w:val="24"/>
              </w:rPr>
              <w:t xml:space="preserve">- </w:t>
            </w:r>
            <w:r w:rsidRPr="00AF64B9">
              <w:rPr>
                <w:rFonts w:cs="Arial"/>
                <w:color w:val="000000"/>
                <w:szCs w:val="24"/>
                <w:lang w:eastAsia="en-GB"/>
              </w:rPr>
              <w:t xml:space="preserve">targeting women, </w:t>
            </w:r>
            <w:r w:rsidR="00055157">
              <w:rPr>
                <w:rFonts w:cs="Arial"/>
                <w:color w:val="000000"/>
                <w:szCs w:val="24"/>
                <w:lang w:eastAsia="en-GB"/>
              </w:rPr>
              <w:t>y</w:t>
            </w:r>
            <w:r w:rsidRPr="00AF64B9">
              <w:rPr>
                <w:rFonts w:cs="Arial"/>
                <w:color w:val="000000"/>
                <w:szCs w:val="24"/>
                <w:lang w:eastAsia="en-GB"/>
              </w:rPr>
              <w:t xml:space="preserve">oung people, and </w:t>
            </w:r>
            <w:r w:rsidR="00055157">
              <w:rPr>
                <w:rFonts w:cs="Arial"/>
                <w:color w:val="000000"/>
                <w:szCs w:val="24"/>
                <w:lang w:eastAsia="en-GB"/>
              </w:rPr>
              <w:t>d</w:t>
            </w:r>
            <w:r w:rsidRPr="00AF64B9">
              <w:rPr>
                <w:rFonts w:cs="Arial"/>
                <w:color w:val="000000"/>
                <w:szCs w:val="24"/>
                <w:lang w:eastAsia="en-GB"/>
              </w:rPr>
              <w:t>isabled people (including business owners and sole traders with mental health concerns)</w:t>
            </w:r>
          </w:p>
        </w:tc>
        <w:tc>
          <w:tcPr>
            <w:tcW w:w="1551" w:type="dxa"/>
            <w:vAlign w:val="center"/>
          </w:tcPr>
          <w:p w14:paraId="6D0EC27A" w14:textId="258EDF22" w:rsidR="0053759D" w:rsidRPr="00AF64B9" w:rsidRDefault="009C6040" w:rsidP="0053759D">
            <w:pPr>
              <w:jc w:val="center"/>
              <w:rPr>
                <w:rFonts w:cs="Arial"/>
                <w:szCs w:val="24"/>
              </w:rPr>
            </w:pPr>
            <w:r>
              <w:rPr>
                <w:rFonts w:cs="Arial"/>
                <w:szCs w:val="24"/>
              </w:rPr>
              <w:t>N/A</w:t>
            </w:r>
          </w:p>
        </w:tc>
        <w:tc>
          <w:tcPr>
            <w:tcW w:w="1701" w:type="dxa"/>
            <w:noWrap/>
            <w:tcMar>
              <w:top w:w="0" w:type="dxa"/>
              <w:left w:w="108" w:type="dxa"/>
              <w:bottom w:w="0" w:type="dxa"/>
              <w:right w:w="108" w:type="dxa"/>
            </w:tcMar>
            <w:vAlign w:val="center"/>
          </w:tcPr>
          <w:p w14:paraId="6A47B3D6" w14:textId="68A78708" w:rsidR="0053759D" w:rsidRPr="00AF64B9" w:rsidRDefault="008570D6" w:rsidP="0053759D">
            <w:pPr>
              <w:jc w:val="center"/>
              <w:rPr>
                <w:rFonts w:cs="Arial"/>
                <w:szCs w:val="24"/>
              </w:rPr>
            </w:pPr>
            <w:r>
              <w:rPr>
                <w:rFonts w:cs="Arial"/>
                <w:szCs w:val="24"/>
              </w:rPr>
              <w:t>£</w:t>
            </w:r>
            <w:r w:rsidR="00C20711">
              <w:rPr>
                <w:rFonts w:cs="Arial"/>
                <w:szCs w:val="24"/>
              </w:rPr>
              <w:t>213,600</w:t>
            </w:r>
          </w:p>
        </w:tc>
        <w:tc>
          <w:tcPr>
            <w:tcW w:w="1418" w:type="dxa"/>
            <w:noWrap/>
            <w:tcMar>
              <w:top w:w="0" w:type="dxa"/>
              <w:left w:w="108" w:type="dxa"/>
              <w:bottom w:w="0" w:type="dxa"/>
              <w:right w:w="108" w:type="dxa"/>
            </w:tcMar>
            <w:vAlign w:val="center"/>
            <w:hideMark/>
          </w:tcPr>
          <w:p w14:paraId="5BCAF9C6" w14:textId="77777777" w:rsidR="0053759D" w:rsidRPr="00AF64B9" w:rsidRDefault="0053759D" w:rsidP="0053759D">
            <w:pPr>
              <w:rPr>
                <w:rFonts w:cs="Arial"/>
                <w:szCs w:val="24"/>
              </w:rPr>
            </w:pPr>
            <w:r w:rsidRPr="00AF64B9">
              <w:rPr>
                <w:rFonts w:cs="Arial"/>
                <w:szCs w:val="24"/>
              </w:rPr>
              <w:t>Supporting Local Business</w:t>
            </w:r>
          </w:p>
        </w:tc>
      </w:tr>
      <w:tr w:rsidR="00030D47" w:rsidRPr="00AF64B9" w14:paraId="4FD2E73F" w14:textId="77777777" w:rsidTr="00BE7A34">
        <w:tblPrEx>
          <w:tblCellMar>
            <w:left w:w="0" w:type="dxa"/>
            <w:right w:w="0" w:type="dxa"/>
          </w:tblCellMar>
        </w:tblPrEx>
        <w:trPr>
          <w:trHeight w:val="570"/>
        </w:trPr>
        <w:tc>
          <w:tcPr>
            <w:tcW w:w="1672" w:type="dxa"/>
            <w:tcMar>
              <w:top w:w="0" w:type="dxa"/>
              <w:left w:w="108" w:type="dxa"/>
              <w:bottom w:w="0" w:type="dxa"/>
              <w:right w:w="108" w:type="dxa"/>
            </w:tcMar>
            <w:vAlign w:val="center"/>
            <w:hideMark/>
          </w:tcPr>
          <w:p w14:paraId="7DD7BA5D" w14:textId="7BB2D9F2" w:rsidR="0053759D" w:rsidRPr="004408E3" w:rsidRDefault="0053759D" w:rsidP="0053759D">
            <w:pPr>
              <w:rPr>
                <w:rFonts w:cs="Arial"/>
                <w:szCs w:val="24"/>
              </w:rPr>
            </w:pPr>
            <w:r w:rsidRPr="004408E3">
              <w:rPr>
                <w:rFonts w:cs="Arial"/>
                <w:szCs w:val="24"/>
              </w:rPr>
              <w:t>Reuse Laptop and Mobile Phones Start Up Kit Project</w:t>
            </w:r>
          </w:p>
        </w:tc>
        <w:tc>
          <w:tcPr>
            <w:tcW w:w="3009" w:type="dxa"/>
            <w:tcBorders>
              <w:top w:val="nil"/>
              <w:left w:val="nil"/>
              <w:bottom w:val="single" w:sz="4" w:space="0" w:color="auto"/>
              <w:right w:val="single" w:sz="4" w:space="0" w:color="auto"/>
            </w:tcBorders>
            <w:shd w:val="clear" w:color="auto" w:fill="auto"/>
            <w:vAlign w:val="center"/>
          </w:tcPr>
          <w:p w14:paraId="581573FA" w14:textId="66B63C39" w:rsidR="0053759D" w:rsidRPr="004408E3" w:rsidRDefault="0053759D" w:rsidP="0053759D">
            <w:pPr>
              <w:rPr>
                <w:rFonts w:cs="Arial"/>
                <w:szCs w:val="24"/>
              </w:rPr>
            </w:pPr>
            <w:r w:rsidRPr="004408E3">
              <w:rPr>
                <w:rFonts w:cs="Arial"/>
                <w:color w:val="000000"/>
                <w:szCs w:val="24"/>
                <w:lang w:eastAsia="en-GB"/>
              </w:rPr>
              <w:t xml:space="preserve">Informed by an existing pilot, the project seeks to target new </w:t>
            </w:r>
            <w:r w:rsidR="00BE7A34" w:rsidRPr="004408E3">
              <w:rPr>
                <w:rFonts w:cs="Arial"/>
                <w:color w:val="000000"/>
                <w:szCs w:val="24"/>
                <w:lang w:eastAsia="en-GB"/>
              </w:rPr>
              <w:t>start-ups</w:t>
            </w:r>
            <w:r w:rsidRPr="004408E3">
              <w:rPr>
                <w:rFonts w:cs="Arial"/>
                <w:color w:val="000000"/>
                <w:szCs w:val="24"/>
                <w:lang w:eastAsia="en-GB"/>
              </w:rPr>
              <w:t xml:space="preserve"> and provide them with reused and repaired laptops to assist with business operations and admin. </w:t>
            </w:r>
          </w:p>
        </w:tc>
        <w:tc>
          <w:tcPr>
            <w:tcW w:w="1551" w:type="dxa"/>
            <w:vAlign w:val="center"/>
          </w:tcPr>
          <w:p w14:paraId="4A0F10C4" w14:textId="2D56E64F" w:rsidR="0053759D" w:rsidRPr="004408E3" w:rsidRDefault="00C20711" w:rsidP="0053759D">
            <w:pPr>
              <w:jc w:val="center"/>
              <w:rPr>
                <w:rFonts w:cs="Arial"/>
                <w:szCs w:val="24"/>
              </w:rPr>
            </w:pPr>
            <w:r w:rsidRPr="004408E3">
              <w:rPr>
                <w:rFonts w:cs="Arial"/>
                <w:szCs w:val="24"/>
              </w:rPr>
              <w:t>N/A</w:t>
            </w:r>
          </w:p>
        </w:tc>
        <w:tc>
          <w:tcPr>
            <w:tcW w:w="1701" w:type="dxa"/>
            <w:tcMar>
              <w:top w:w="0" w:type="dxa"/>
              <w:left w:w="108" w:type="dxa"/>
              <w:bottom w:w="0" w:type="dxa"/>
              <w:right w:w="108" w:type="dxa"/>
            </w:tcMar>
            <w:vAlign w:val="center"/>
          </w:tcPr>
          <w:p w14:paraId="3F030BF7" w14:textId="0CD842D3" w:rsidR="0053759D" w:rsidRPr="004408E3" w:rsidRDefault="00896EBF" w:rsidP="0053759D">
            <w:pPr>
              <w:jc w:val="center"/>
              <w:rPr>
                <w:rFonts w:cs="Arial"/>
                <w:szCs w:val="24"/>
              </w:rPr>
            </w:pPr>
            <w:r w:rsidRPr="004408E3">
              <w:rPr>
                <w:rFonts w:cs="Arial"/>
                <w:szCs w:val="24"/>
              </w:rPr>
              <w:t>£</w:t>
            </w:r>
            <w:r w:rsidR="00C20711" w:rsidRPr="004408E3">
              <w:rPr>
                <w:rFonts w:cs="Arial"/>
                <w:szCs w:val="24"/>
              </w:rPr>
              <w:t>37,915</w:t>
            </w:r>
          </w:p>
        </w:tc>
        <w:tc>
          <w:tcPr>
            <w:tcW w:w="1418" w:type="dxa"/>
            <w:noWrap/>
            <w:tcMar>
              <w:top w:w="0" w:type="dxa"/>
              <w:left w:w="108" w:type="dxa"/>
              <w:bottom w:w="0" w:type="dxa"/>
              <w:right w:w="108" w:type="dxa"/>
            </w:tcMar>
            <w:vAlign w:val="center"/>
            <w:hideMark/>
          </w:tcPr>
          <w:p w14:paraId="72EED79F" w14:textId="77777777" w:rsidR="0053759D" w:rsidRPr="004408E3" w:rsidRDefault="0053759D" w:rsidP="0053759D">
            <w:pPr>
              <w:rPr>
                <w:rFonts w:cs="Arial"/>
                <w:szCs w:val="24"/>
              </w:rPr>
            </w:pPr>
            <w:r w:rsidRPr="004408E3">
              <w:rPr>
                <w:rFonts w:cs="Arial"/>
                <w:szCs w:val="24"/>
              </w:rPr>
              <w:t>Supporting Local Business</w:t>
            </w:r>
          </w:p>
        </w:tc>
      </w:tr>
      <w:tr w:rsidR="00A942AF" w:rsidRPr="00AF64B9" w14:paraId="3CD5285A" w14:textId="77777777" w:rsidTr="00BE7A34">
        <w:tblPrEx>
          <w:tblCellMar>
            <w:left w:w="0" w:type="dxa"/>
            <w:right w:w="0" w:type="dxa"/>
          </w:tblCellMar>
        </w:tblPrEx>
        <w:trPr>
          <w:trHeight w:val="570"/>
        </w:trPr>
        <w:tc>
          <w:tcPr>
            <w:tcW w:w="1672" w:type="dxa"/>
            <w:shd w:val="clear" w:color="auto" w:fill="D6E3BC" w:themeFill="accent3" w:themeFillTint="66"/>
            <w:tcMar>
              <w:top w:w="0" w:type="dxa"/>
              <w:left w:w="108" w:type="dxa"/>
              <w:bottom w:w="0" w:type="dxa"/>
              <w:right w:w="108" w:type="dxa"/>
            </w:tcMar>
            <w:vAlign w:val="center"/>
          </w:tcPr>
          <w:p w14:paraId="68FE38B8" w14:textId="37A72AB1" w:rsidR="0053759D" w:rsidRPr="00AF64B9" w:rsidRDefault="0053759D" w:rsidP="0053759D">
            <w:pPr>
              <w:rPr>
                <w:rFonts w:cs="Arial"/>
                <w:b/>
                <w:bCs/>
                <w:szCs w:val="24"/>
              </w:rPr>
            </w:pPr>
            <w:r w:rsidRPr="00AF64B9">
              <w:rPr>
                <w:rFonts w:cs="Arial"/>
                <w:b/>
                <w:bCs/>
                <w:szCs w:val="24"/>
              </w:rPr>
              <w:t>PH Sub Total</w:t>
            </w:r>
          </w:p>
        </w:tc>
        <w:tc>
          <w:tcPr>
            <w:tcW w:w="3009" w:type="dxa"/>
            <w:shd w:val="clear" w:color="auto" w:fill="D6E3BC" w:themeFill="accent3" w:themeFillTint="66"/>
          </w:tcPr>
          <w:p w14:paraId="7BD2ED11" w14:textId="77777777" w:rsidR="0053759D" w:rsidRPr="00AF64B9" w:rsidRDefault="0053759D" w:rsidP="0053759D">
            <w:pPr>
              <w:rPr>
                <w:rFonts w:cs="Arial"/>
                <w:b/>
                <w:bCs/>
                <w:szCs w:val="24"/>
              </w:rPr>
            </w:pPr>
          </w:p>
        </w:tc>
        <w:tc>
          <w:tcPr>
            <w:tcW w:w="1551" w:type="dxa"/>
            <w:shd w:val="clear" w:color="auto" w:fill="D6E3BC" w:themeFill="accent3" w:themeFillTint="66"/>
            <w:vAlign w:val="center"/>
          </w:tcPr>
          <w:p w14:paraId="65DD998A" w14:textId="4369BD7B" w:rsidR="0053759D" w:rsidRPr="00AF64B9" w:rsidRDefault="00C20711" w:rsidP="0053759D">
            <w:pPr>
              <w:jc w:val="center"/>
              <w:rPr>
                <w:rFonts w:cs="Arial"/>
                <w:b/>
                <w:bCs/>
                <w:szCs w:val="24"/>
              </w:rPr>
            </w:pPr>
            <w:r>
              <w:rPr>
                <w:rFonts w:cs="Arial"/>
                <w:b/>
                <w:bCs/>
                <w:szCs w:val="24"/>
              </w:rPr>
              <w:t>£2</w:t>
            </w:r>
            <w:r w:rsidR="00C80200">
              <w:rPr>
                <w:rFonts w:cs="Arial"/>
                <w:b/>
                <w:bCs/>
                <w:szCs w:val="24"/>
              </w:rPr>
              <w:t>75,600</w:t>
            </w:r>
          </w:p>
        </w:tc>
        <w:tc>
          <w:tcPr>
            <w:tcW w:w="1701" w:type="dxa"/>
            <w:shd w:val="clear" w:color="auto" w:fill="D6E3BC" w:themeFill="accent3" w:themeFillTint="66"/>
            <w:tcMar>
              <w:top w:w="0" w:type="dxa"/>
              <w:left w:w="108" w:type="dxa"/>
              <w:bottom w:w="0" w:type="dxa"/>
              <w:right w:w="108" w:type="dxa"/>
            </w:tcMar>
            <w:vAlign w:val="center"/>
          </w:tcPr>
          <w:p w14:paraId="0158206C" w14:textId="325B99FD" w:rsidR="0053759D" w:rsidRPr="00AF64B9" w:rsidRDefault="00E0569D" w:rsidP="0053759D">
            <w:pPr>
              <w:jc w:val="center"/>
              <w:rPr>
                <w:rFonts w:cs="Arial"/>
                <w:b/>
                <w:bCs/>
                <w:szCs w:val="24"/>
              </w:rPr>
            </w:pPr>
            <w:r>
              <w:rPr>
                <w:rFonts w:cs="Arial"/>
                <w:b/>
                <w:bCs/>
                <w:szCs w:val="24"/>
              </w:rPr>
              <w:t>£3</w:t>
            </w:r>
            <w:r w:rsidR="00C80200">
              <w:rPr>
                <w:rFonts w:cs="Arial"/>
                <w:b/>
                <w:bCs/>
                <w:szCs w:val="24"/>
              </w:rPr>
              <w:t>63,643</w:t>
            </w:r>
          </w:p>
        </w:tc>
        <w:tc>
          <w:tcPr>
            <w:tcW w:w="1418" w:type="dxa"/>
            <w:shd w:val="clear" w:color="auto" w:fill="D6E3BC" w:themeFill="accent3" w:themeFillTint="66"/>
            <w:noWrap/>
            <w:tcMar>
              <w:top w:w="0" w:type="dxa"/>
              <w:left w:w="108" w:type="dxa"/>
              <w:bottom w:w="0" w:type="dxa"/>
              <w:right w:w="108" w:type="dxa"/>
            </w:tcMar>
            <w:vAlign w:val="center"/>
          </w:tcPr>
          <w:p w14:paraId="2CE0882E" w14:textId="77777777" w:rsidR="0053759D" w:rsidRPr="00AF64B9" w:rsidRDefault="0053759D" w:rsidP="0053759D">
            <w:pPr>
              <w:rPr>
                <w:rFonts w:cs="Arial"/>
                <w:szCs w:val="24"/>
              </w:rPr>
            </w:pPr>
          </w:p>
        </w:tc>
      </w:tr>
      <w:tr w:rsidR="00030D47" w:rsidRPr="00AF64B9" w14:paraId="7A7B8C99" w14:textId="77777777" w:rsidTr="00BE7A34">
        <w:tblPrEx>
          <w:tblCellMar>
            <w:left w:w="0" w:type="dxa"/>
            <w:right w:w="0" w:type="dxa"/>
          </w:tblCellMar>
        </w:tblPrEx>
        <w:trPr>
          <w:trHeight w:val="570"/>
        </w:trPr>
        <w:tc>
          <w:tcPr>
            <w:tcW w:w="1672" w:type="dxa"/>
            <w:shd w:val="clear" w:color="auto" w:fill="auto"/>
            <w:tcMar>
              <w:top w:w="0" w:type="dxa"/>
              <w:left w:w="108" w:type="dxa"/>
              <w:bottom w:w="0" w:type="dxa"/>
              <w:right w:w="108" w:type="dxa"/>
            </w:tcMar>
            <w:vAlign w:val="center"/>
          </w:tcPr>
          <w:p w14:paraId="3C8DC268" w14:textId="3D1CAF62" w:rsidR="00C560F7" w:rsidRPr="00AF64B9" w:rsidRDefault="00C560F7" w:rsidP="0053759D">
            <w:pPr>
              <w:rPr>
                <w:rFonts w:cs="Arial"/>
                <w:b/>
                <w:bCs/>
                <w:szCs w:val="24"/>
              </w:rPr>
            </w:pPr>
            <w:r>
              <w:rPr>
                <w:rFonts w:cs="Arial"/>
                <w:b/>
                <w:bCs/>
                <w:szCs w:val="24"/>
              </w:rPr>
              <w:t>Monitoring and Evaluation Costs@4%</w:t>
            </w:r>
          </w:p>
        </w:tc>
        <w:tc>
          <w:tcPr>
            <w:tcW w:w="3009" w:type="dxa"/>
            <w:shd w:val="clear" w:color="auto" w:fill="auto"/>
          </w:tcPr>
          <w:p w14:paraId="2567E86C" w14:textId="77777777" w:rsidR="00C560F7" w:rsidRPr="00AF64B9" w:rsidRDefault="00C560F7" w:rsidP="0053759D">
            <w:pPr>
              <w:rPr>
                <w:rFonts w:cs="Arial"/>
                <w:b/>
                <w:bCs/>
                <w:szCs w:val="24"/>
              </w:rPr>
            </w:pPr>
          </w:p>
        </w:tc>
        <w:tc>
          <w:tcPr>
            <w:tcW w:w="3252" w:type="dxa"/>
            <w:gridSpan w:val="2"/>
            <w:shd w:val="clear" w:color="auto" w:fill="auto"/>
            <w:vAlign w:val="center"/>
          </w:tcPr>
          <w:p w14:paraId="701FBF76" w14:textId="5D69FADE" w:rsidR="00C560F7" w:rsidRPr="0050054D" w:rsidRDefault="00C560F7" w:rsidP="0053759D">
            <w:pPr>
              <w:jc w:val="center"/>
              <w:rPr>
                <w:rFonts w:cs="Arial"/>
                <w:szCs w:val="24"/>
              </w:rPr>
            </w:pPr>
            <w:r w:rsidRPr="0050054D">
              <w:rPr>
                <w:rFonts w:cs="Arial"/>
                <w:szCs w:val="24"/>
              </w:rPr>
              <w:t>£56</w:t>
            </w:r>
            <w:r w:rsidR="004408E3">
              <w:rPr>
                <w:rFonts w:cs="Arial"/>
                <w:szCs w:val="24"/>
              </w:rPr>
              <w:t>,</w:t>
            </w:r>
            <w:r w:rsidRPr="0050054D">
              <w:rPr>
                <w:rFonts w:cs="Arial"/>
                <w:szCs w:val="24"/>
              </w:rPr>
              <w:t>72</w:t>
            </w:r>
            <w:r w:rsidR="00D2450D">
              <w:rPr>
                <w:rFonts w:cs="Arial"/>
                <w:szCs w:val="24"/>
              </w:rPr>
              <w:t>3</w:t>
            </w:r>
          </w:p>
        </w:tc>
        <w:tc>
          <w:tcPr>
            <w:tcW w:w="1418" w:type="dxa"/>
            <w:shd w:val="clear" w:color="auto" w:fill="auto"/>
            <w:noWrap/>
            <w:tcMar>
              <w:top w:w="0" w:type="dxa"/>
              <w:left w:w="108" w:type="dxa"/>
              <w:bottom w:w="0" w:type="dxa"/>
              <w:right w:w="108" w:type="dxa"/>
            </w:tcMar>
            <w:vAlign w:val="center"/>
          </w:tcPr>
          <w:p w14:paraId="0D010077" w14:textId="77777777" w:rsidR="00C560F7" w:rsidRPr="00AF64B9" w:rsidRDefault="00C560F7" w:rsidP="0053759D">
            <w:pPr>
              <w:rPr>
                <w:rFonts w:cs="Arial"/>
                <w:szCs w:val="24"/>
              </w:rPr>
            </w:pPr>
          </w:p>
        </w:tc>
      </w:tr>
    </w:tbl>
    <w:p w14:paraId="2FF2D914" w14:textId="77777777" w:rsidR="002C08D1" w:rsidRDefault="002C08D1" w:rsidP="002C08D1">
      <w:pPr>
        <w:rPr>
          <w:u w:val="single"/>
        </w:rPr>
      </w:pPr>
    </w:p>
    <w:p w14:paraId="6533022E" w14:textId="77777777" w:rsidR="002C08D1" w:rsidRDefault="002C08D1" w:rsidP="002C08D1">
      <w:pPr>
        <w:rPr>
          <w:b/>
          <w:bCs/>
        </w:rPr>
      </w:pPr>
      <w:r>
        <w:rPr>
          <w:b/>
          <w:bCs/>
        </w:rPr>
        <w:t>Consultation</w:t>
      </w:r>
    </w:p>
    <w:p w14:paraId="6EE4E54C" w14:textId="1606ECBD" w:rsidR="00333FAA" w:rsidRPr="00F06E4E" w:rsidRDefault="002C08D1" w:rsidP="63D35AEC">
      <w:pPr>
        <w:rPr>
          <w:rFonts w:eastAsia="Calibri" w:cs="Arial"/>
        </w:rPr>
      </w:pPr>
      <w:r>
        <w:t xml:space="preserve">In developing these proposals, the council consulted with </w:t>
      </w:r>
      <w:r w:rsidR="008A1CFF">
        <w:t>several</w:t>
      </w:r>
      <w:r>
        <w:t xml:space="preserve"> representative groups and organisations</w:t>
      </w:r>
      <w:r w:rsidR="76C85269">
        <w:t xml:space="preserve"> and built on previous consultations for example on Harrow Arts Centre</w:t>
      </w:r>
      <w:r w:rsidR="2565A016">
        <w:t xml:space="preserve"> and with councillors on High Streets</w:t>
      </w:r>
      <w:r>
        <w:t xml:space="preserve">. </w:t>
      </w:r>
      <w:r w:rsidR="2E435F0B">
        <w:t xml:space="preserve">Consultees have included: </w:t>
      </w:r>
      <w:r>
        <w:t>North</w:t>
      </w:r>
      <w:r w:rsidR="00420111">
        <w:t>-</w:t>
      </w:r>
      <w:r>
        <w:t>West London Chamber of Commerce, Metro bank, West London Business, HA1BID. Traders Associations</w:t>
      </w:r>
      <w:r w:rsidR="2CA78EAA">
        <w:t xml:space="preserve">, Park User Groups, </w:t>
      </w:r>
      <w:r w:rsidR="001E7B04" w:rsidRPr="63D35AEC">
        <w:rPr>
          <w:rFonts w:eastAsia="Calibri" w:cs="Arial"/>
        </w:rPr>
        <w:t>West London Energy Officers’ Group and West London consortium retrofit delivery mode</w:t>
      </w:r>
      <w:r w:rsidR="3CC59FFA" w:rsidRPr="63D35AEC">
        <w:rPr>
          <w:rFonts w:eastAsia="Calibri" w:cs="Arial"/>
        </w:rPr>
        <w:t xml:space="preserve">l. </w:t>
      </w:r>
    </w:p>
    <w:p w14:paraId="06485742" w14:textId="5EECC237" w:rsidR="63D35AEC" w:rsidRDefault="63D35AEC" w:rsidP="63D35AEC">
      <w:pPr>
        <w:rPr>
          <w:rFonts w:eastAsia="Calibri" w:cs="Arial"/>
        </w:rPr>
      </w:pPr>
    </w:p>
    <w:p w14:paraId="5E3D76B0" w14:textId="77777777" w:rsidR="00333FAA" w:rsidRDefault="00333FAA" w:rsidP="00333FAA">
      <w:pPr>
        <w:pStyle w:val="Heading2"/>
        <w:rPr>
          <w:rFonts w:ascii="Arial" w:hAnsi="Arial"/>
          <w:sz w:val="28"/>
          <w:szCs w:val="28"/>
        </w:rPr>
      </w:pPr>
      <w:r w:rsidRPr="00401737">
        <w:rPr>
          <w:rFonts w:ascii="Arial" w:hAnsi="Arial"/>
          <w:sz w:val="28"/>
          <w:szCs w:val="28"/>
        </w:rPr>
        <w:lastRenderedPageBreak/>
        <w:t>Implications of the Recommendation</w:t>
      </w:r>
    </w:p>
    <w:p w14:paraId="05B6ED97" w14:textId="77777777" w:rsidR="00712BEA" w:rsidRPr="00712BEA" w:rsidRDefault="00712BEA" w:rsidP="00712BEA"/>
    <w:p w14:paraId="76FF354C" w14:textId="77777777" w:rsidR="00333FAA" w:rsidRDefault="00333FAA" w:rsidP="00333FAA">
      <w:pPr>
        <w:pStyle w:val="Heading3"/>
        <w:rPr>
          <w:sz w:val="24"/>
          <w:szCs w:val="24"/>
        </w:rPr>
      </w:pPr>
      <w:r w:rsidRPr="00401737">
        <w:rPr>
          <w:sz w:val="24"/>
          <w:szCs w:val="24"/>
        </w:rPr>
        <w:t>Considerations</w:t>
      </w:r>
    </w:p>
    <w:p w14:paraId="31D705B5" w14:textId="6D3B5DF0" w:rsidR="00E32270" w:rsidRDefault="00E32270" w:rsidP="00E32270">
      <w:r>
        <w:t xml:space="preserve">By entering into the </w:t>
      </w:r>
      <w:r w:rsidR="006F1457">
        <w:t>Grant Funding Agreement (</w:t>
      </w:r>
      <w:r>
        <w:t>GFA</w:t>
      </w:r>
      <w:r w:rsidR="006F1457">
        <w:t>)</w:t>
      </w:r>
      <w:r>
        <w:t xml:space="preserve"> with the GLA, the Council is bound by the terms of the agreement. This includes:</w:t>
      </w:r>
    </w:p>
    <w:p w14:paraId="5E684EC0" w14:textId="28B4AACA" w:rsidR="003F46B7" w:rsidRDefault="007D113E" w:rsidP="003F46B7">
      <w:pPr>
        <w:pStyle w:val="ListParagraph"/>
        <w:numPr>
          <w:ilvl w:val="0"/>
          <w:numId w:val="9"/>
        </w:numPr>
      </w:pPr>
      <w:r>
        <w:t>The GLA’s monitoring requirements, including the need for the council to submit quarterly claim submissions</w:t>
      </w:r>
    </w:p>
    <w:p w14:paraId="6DACDFD5" w14:textId="0DED0A11" w:rsidR="007D113E" w:rsidRDefault="007D113E" w:rsidP="003F46B7">
      <w:pPr>
        <w:pStyle w:val="ListParagraph"/>
        <w:numPr>
          <w:ilvl w:val="0"/>
          <w:numId w:val="9"/>
        </w:numPr>
      </w:pPr>
      <w:r>
        <w:t>The grant</w:t>
      </w:r>
      <w:r w:rsidR="001809E4">
        <w:t xml:space="preserve"> review and</w:t>
      </w:r>
      <w:r>
        <w:t xml:space="preserve"> claims process</w:t>
      </w:r>
    </w:p>
    <w:p w14:paraId="2F944F34" w14:textId="2B15F899" w:rsidR="007D113E" w:rsidRPr="002F0750" w:rsidRDefault="00705810" w:rsidP="002F0750">
      <w:pPr>
        <w:pStyle w:val="ListParagraph"/>
        <w:numPr>
          <w:ilvl w:val="0"/>
          <w:numId w:val="9"/>
        </w:numPr>
      </w:pPr>
      <w:r>
        <w:t>A requirement to a</w:t>
      </w:r>
      <w:r w:rsidR="00F812D8">
        <w:t>ccord with b</w:t>
      </w:r>
      <w:r w:rsidR="00F812D8" w:rsidRPr="00F812D8">
        <w:t xml:space="preserve">randing guidelines issued by the Secretary of State, the UK government, or the </w:t>
      </w:r>
      <w:r w:rsidR="00F812D8">
        <w:t>GLA</w:t>
      </w:r>
    </w:p>
    <w:p w14:paraId="46775210" w14:textId="77777777" w:rsidR="00067BF6" w:rsidRDefault="00067BF6" w:rsidP="00E32270"/>
    <w:p w14:paraId="4A24D0DE" w14:textId="428F28EE" w:rsidR="007D113E" w:rsidRDefault="007D113E" w:rsidP="00E32270">
      <w:r>
        <w:t xml:space="preserve">Further details are given in the </w:t>
      </w:r>
      <w:r w:rsidR="00B014A2">
        <w:t xml:space="preserve">Resources/Costs, </w:t>
      </w:r>
      <w:r>
        <w:t xml:space="preserve">Legal Implications and Finance Implications in this report.  </w:t>
      </w:r>
    </w:p>
    <w:p w14:paraId="1806C8B6" w14:textId="77777777" w:rsidR="00D11315" w:rsidRDefault="00D11315" w:rsidP="00E32270"/>
    <w:p w14:paraId="57FC8C39" w14:textId="109504C5" w:rsidR="00BA42AB" w:rsidRPr="00FE0CFA" w:rsidRDefault="00FE0CFA" w:rsidP="00E32270">
      <w:pPr>
        <w:rPr>
          <w:u w:val="single"/>
        </w:rPr>
      </w:pPr>
      <w:r w:rsidRPr="00FE0CFA">
        <w:rPr>
          <w:u w:val="single"/>
        </w:rPr>
        <w:t xml:space="preserve">Grant Review </w:t>
      </w:r>
    </w:p>
    <w:p w14:paraId="518EED0E" w14:textId="73395605" w:rsidR="00CE4668" w:rsidRDefault="000559D8" w:rsidP="00E32270">
      <w:r>
        <w:t xml:space="preserve">The </w:t>
      </w:r>
      <w:r w:rsidR="00BA42AB">
        <w:t xml:space="preserve">GLA </w:t>
      </w:r>
      <w:r w:rsidR="00463505">
        <w:t>wi</w:t>
      </w:r>
      <w:r w:rsidR="00CE4668">
        <w:t xml:space="preserve">ll review the delivery of Harrow’s projects annually and confirm whether </w:t>
      </w:r>
      <w:r w:rsidR="00A608EE" w:rsidRPr="00A608EE">
        <w:t>the project activities and the funding agreement should continue in line with existing plans</w:t>
      </w:r>
      <w:r w:rsidR="00A608EE">
        <w:t xml:space="preserve">. </w:t>
      </w:r>
    </w:p>
    <w:p w14:paraId="72F3E691" w14:textId="77777777" w:rsidR="00E17536" w:rsidRDefault="00E17536" w:rsidP="00E32270"/>
    <w:p w14:paraId="71841C0A" w14:textId="77777777" w:rsidR="00333FAA" w:rsidRPr="00401737" w:rsidRDefault="00333FAA" w:rsidP="0054590F">
      <w:pPr>
        <w:pStyle w:val="Heading4"/>
        <w:rPr>
          <w:szCs w:val="24"/>
        </w:rPr>
      </w:pPr>
      <w:r w:rsidRPr="00401737">
        <w:rPr>
          <w:szCs w:val="24"/>
        </w:rPr>
        <w:t xml:space="preserve">Resources, costs </w:t>
      </w:r>
    </w:p>
    <w:p w14:paraId="576895CF" w14:textId="77777777" w:rsidR="00A579C7" w:rsidRDefault="00A579C7" w:rsidP="001E0D77"/>
    <w:p w14:paraId="4DFB4256" w14:textId="77777777" w:rsidR="00A579C7" w:rsidRPr="00FE0CFA" w:rsidRDefault="00A579C7" w:rsidP="00A579C7">
      <w:pPr>
        <w:rPr>
          <w:u w:val="single"/>
        </w:rPr>
      </w:pPr>
      <w:r w:rsidRPr="00FE0CFA">
        <w:rPr>
          <w:u w:val="single"/>
        </w:rPr>
        <w:t>Grant Claims</w:t>
      </w:r>
      <w:r>
        <w:rPr>
          <w:u w:val="single"/>
        </w:rPr>
        <w:t xml:space="preserve"> &amp; Payments</w:t>
      </w:r>
    </w:p>
    <w:p w14:paraId="761F5691" w14:textId="4B48CFB2" w:rsidR="00D92223" w:rsidRDefault="00D92223" w:rsidP="00A579C7">
      <w:r w:rsidRPr="00D92223">
        <w:t xml:space="preserve">The GLA Grant Funding Agreement sets out the payment schedule and terms that the council must meet to obtain the funding from the GLA. </w:t>
      </w:r>
      <w:r w:rsidR="00B8344C">
        <w:t xml:space="preserve">Table </w:t>
      </w:r>
      <w:r w:rsidR="004F7EFB">
        <w:t>2</w:t>
      </w:r>
      <w:r w:rsidR="00B8344C">
        <w:t xml:space="preserve"> below sets out the GLA’s proposed payment schedule.</w:t>
      </w:r>
    </w:p>
    <w:p w14:paraId="2A7F0601" w14:textId="77777777" w:rsidR="00D92223" w:rsidRDefault="00D92223" w:rsidP="00A579C7"/>
    <w:p w14:paraId="3B2CCF0F" w14:textId="2B48FF83" w:rsidR="00A579C7" w:rsidRDefault="00A579C7" w:rsidP="00A579C7">
      <w:r>
        <w:t xml:space="preserve">A first payment will be received by the council on signing of the GFA. </w:t>
      </w:r>
    </w:p>
    <w:p w14:paraId="4110574E" w14:textId="77777777" w:rsidR="00A579C7" w:rsidRDefault="00A579C7" w:rsidP="00A579C7"/>
    <w:p w14:paraId="487D58C2" w14:textId="77484CCA" w:rsidR="00A579C7" w:rsidRDefault="00A579C7" w:rsidP="00317639">
      <w:r>
        <w:t xml:space="preserve">After an initial grant claim for the financial year 2022/23, Harrow Council as Project Deliverer must submit a further eight quarterly </w:t>
      </w:r>
      <w:r w:rsidRPr="004569BA">
        <w:t>progress claims</w:t>
      </w:r>
      <w:r>
        <w:t xml:space="preserve"> over the financial years 2023/24 and 2024/25 which are to be signed by the section 151 officer. </w:t>
      </w:r>
    </w:p>
    <w:p w14:paraId="0BC2F22E" w14:textId="77777777" w:rsidR="00A579C7" w:rsidRDefault="00A579C7" w:rsidP="00A579C7">
      <w:pPr>
        <w:rPr>
          <w:b/>
          <w:bCs/>
        </w:rPr>
      </w:pPr>
    </w:p>
    <w:p w14:paraId="3043EEB2" w14:textId="708F6CC8" w:rsidR="00A579C7" w:rsidRDefault="00A579C7" w:rsidP="00A579C7">
      <w:r>
        <w:t xml:space="preserve">Harrow will be required to keep detailed records of all expenditure, including evidence of the expenditure and the defrayal, and provide this upon request by the </w:t>
      </w:r>
      <w:r w:rsidR="008971B6">
        <w:t>GLA</w:t>
      </w:r>
      <w:r>
        <w:t xml:space="preserve">. The </w:t>
      </w:r>
      <w:r w:rsidR="008971B6">
        <w:t xml:space="preserve">GLA </w:t>
      </w:r>
      <w:r>
        <w:t>may periodically request to see a detailed breakdown of expenditure and supporting evidence.</w:t>
      </w:r>
    </w:p>
    <w:p w14:paraId="00476506" w14:textId="77777777" w:rsidR="00A579C7" w:rsidRDefault="00A579C7" w:rsidP="001E0D77"/>
    <w:p w14:paraId="16299BCF" w14:textId="5470E28F" w:rsidR="00B8344C" w:rsidRPr="00B014A2" w:rsidRDefault="00B8344C" w:rsidP="001E0D77">
      <w:pPr>
        <w:rPr>
          <w:b/>
          <w:bCs/>
        </w:rPr>
      </w:pPr>
      <w:r w:rsidRPr="00B014A2">
        <w:rPr>
          <w:b/>
          <w:bCs/>
        </w:rPr>
        <w:t xml:space="preserve">Table </w:t>
      </w:r>
      <w:r w:rsidR="005E18DF">
        <w:rPr>
          <w:b/>
          <w:bCs/>
        </w:rPr>
        <w:t>2</w:t>
      </w:r>
      <w:r w:rsidRPr="00B014A2">
        <w:rPr>
          <w:b/>
          <w:bCs/>
        </w:rPr>
        <w:t>: UKSPF Payment Schedule</w:t>
      </w:r>
    </w:p>
    <w:p w14:paraId="48A0357A" w14:textId="77777777" w:rsidR="00F25785" w:rsidRPr="00DC04E7" w:rsidRDefault="00F25785" w:rsidP="00F25785">
      <w:pPr>
        <w:rPr>
          <w:rFonts w:cs="Arial"/>
          <w:b/>
          <w:bCs/>
        </w:rPr>
      </w:pPr>
    </w:p>
    <w:tbl>
      <w:tblPr>
        <w:tblpPr w:leftFromText="180" w:rightFromText="180" w:vertAnchor="text"/>
        <w:tblW w:w="9204" w:type="dxa"/>
        <w:tblCellMar>
          <w:left w:w="0" w:type="dxa"/>
          <w:right w:w="0" w:type="dxa"/>
        </w:tblCellMar>
        <w:tblLook w:val="04A0" w:firstRow="1" w:lastRow="0" w:firstColumn="1" w:lastColumn="0" w:noHBand="0" w:noVBand="1"/>
      </w:tblPr>
      <w:tblGrid>
        <w:gridCol w:w="1588"/>
        <w:gridCol w:w="4214"/>
        <w:gridCol w:w="1250"/>
        <w:gridCol w:w="2152"/>
      </w:tblGrid>
      <w:tr w:rsidR="00443EE6" w:rsidRPr="00DC04E7" w14:paraId="081F0A0F" w14:textId="375C49F4" w:rsidTr="00BE7A34">
        <w:trPr>
          <w:trHeight w:val="300"/>
          <w:tblHeader/>
        </w:trPr>
        <w:tc>
          <w:tcPr>
            <w:tcW w:w="1588"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53059CB" w14:textId="77777777" w:rsidR="00443EE6" w:rsidRPr="00DC04E7" w:rsidRDefault="00443EE6">
            <w:pPr>
              <w:rPr>
                <w:rFonts w:cs="Arial"/>
              </w:rPr>
            </w:pPr>
            <w:r w:rsidRPr="00DC04E7">
              <w:rPr>
                <w:rFonts w:cs="Arial"/>
                <w:b/>
                <w:bCs/>
              </w:rPr>
              <w:t>Milestone no</w:t>
            </w:r>
            <w:r w:rsidRPr="00DC04E7">
              <w:rPr>
                <w:rFonts w:cs="Arial"/>
                <w:b/>
                <w:bCs/>
                <w:color w:val="000000"/>
              </w:rPr>
              <w:t>.</w:t>
            </w:r>
          </w:p>
        </w:tc>
        <w:tc>
          <w:tcPr>
            <w:tcW w:w="421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6AF19DBB" w14:textId="77777777" w:rsidR="00443EE6" w:rsidRPr="00DC04E7" w:rsidRDefault="00443EE6">
            <w:pPr>
              <w:rPr>
                <w:rFonts w:cs="Arial"/>
              </w:rPr>
            </w:pPr>
            <w:r w:rsidRPr="00DC04E7">
              <w:rPr>
                <w:rFonts w:cs="Arial"/>
                <w:b/>
                <w:bCs/>
                <w:color w:val="000000"/>
              </w:rPr>
              <w:t>Headline Milestone Description</w:t>
            </w:r>
          </w:p>
        </w:tc>
        <w:tc>
          <w:tcPr>
            <w:tcW w:w="125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523CF8BB" w14:textId="77777777" w:rsidR="00443EE6" w:rsidRPr="00DC04E7" w:rsidRDefault="00443EE6">
            <w:pPr>
              <w:rPr>
                <w:rFonts w:cs="Arial"/>
              </w:rPr>
            </w:pPr>
            <w:r w:rsidRPr="00DC04E7">
              <w:rPr>
                <w:rFonts w:cs="Arial"/>
                <w:b/>
                <w:bCs/>
                <w:color w:val="000000"/>
              </w:rPr>
              <w:t>Timing of payment</w:t>
            </w:r>
          </w:p>
        </w:tc>
        <w:tc>
          <w:tcPr>
            <w:tcW w:w="2152" w:type="dxa"/>
            <w:tcBorders>
              <w:top w:val="single" w:sz="8" w:space="0" w:color="auto"/>
              <w:left w:val="nil"/>
              <w:bottom w:val="single" w:sz="8" w:space="0" w:color="auto"/>
              <w:right w:val="single" w:sz="8" w:space="0" w:color="auto"/>
            </w:tcBorders>
            <w:shd w:val="clear" w:color="auto" w:fill="E5E5E5"/>
          </w:tcPr>
          <w:p w14:paraId="6A8DF1E0" w14:textId="088D5B55" w:rsidR="00443EE6" w:rsidRPr="00DC04E7" w:rsidRDefault="00B8344C">
            <w:pPr>
              <w:rPr>
                <w:rFonts w:cs="Arial"/>
                <w:b/>
                <w:bCs/>
                <w:color w:val="000000"/>
              </w:rPr>
            </w:pPr>
            <w:r>
              <w:rPr>
                <w:rFonts w:cs="Arial"/>
                <w:b/>
                <w:bCs/>
                <w:color w:val="000000"/>
              </w:rPr>
              <w:t xml:space="preserve">Amount </w:t>
            </w:r>
            <w:r w:rsidR="00BE7A34">
              <w:rPr>
                <w:rFonts w:cs="Arial"/>
                <w:b/>
                <w:bCs/>
                <w:color w:val="000000"/>
              </w:rPr>
              <w:t>of UK SPF</w:t>
            </w:r>
            <w:r w:rsidR="00443EE6">
              <w:rPr>
                <w:rFonts w:cs="Arial"/>
                <w:b/>
                <w:bCs/>
                <w:color w:val="000000"/>
              </w:rPr>
              <w:t xml:space="preserve"> Payment</w:t>
            </w:r>
            <w:r>
              <w:rPr>
                <w:rFonts w:cs="Arial"/>
                <w:b/>
                <w:bCs/>
                <w:color w:val="000000"/>
              </w:rPr>
              <w:t xml:space="preserve"> </w:t>
            </w:r>
            <w:r w:rsidR="007F6AD0">
              <w:rPr>
                <w:rFonts w:cs="Arial"/>
                <w:b/>
                <w:bCs/>
                <w:color w:val="000000"/>
              </w:rPr>
              <w:t>(Capital and Revenue)</w:t>
            </w:r>
          </w:p>
        </w:tc>
      </w:tr>
      <w:tr w:rsidR="00443EE6" w:rsidRPr="00DC04E7" w14:paraId="745A8761" w14:textId="5DF6077D" w:rsidTr="00A4606E">
        <w:trPr>
          <w:trHeight w:val="726"/>
        </w:trPr>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1990C" w14:textId="77777777" w:rsidR="00443EE6" w:rsidRPr="00DC04E7" w:rsidRDefault="00443EE6">
            <w:pPr>
              <w:rPr>
                <w:rFonts w:cs="Arial"/>
              </w:rPr>
            </w:pPr>
            <w:r w:rsidRPr="00DC04E7">
              <w:rPr>
                <w:rFonts w:cs="Arial"/>
              </w:rPr>
              <w:t>1st Milestone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8E932A8" w14:textId="77777777" w:rsidR="00443EE6" w:rsidRPr="00DC04E7" w:rsidRDefault="00443EE6">
            <w:pPr>
              <w:rPr>
                <w:rFonts w:cs="Arial"/>
              </w:rPr>
            </w:pPr>
            <w:r w:rsidRPr="00DC04E7">
              <w:rPr>
                <w:rFonts w:cs="Arial"/>
              </w:rPr>
              <w:t>Payment of 2022/23 allocation made on the signing of the grant funding agreement and receipt by the GLA</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554933F1" w14:textId="77777777" w:rsidR="00443EE6" w:rsidRPr="00DC04E7" w:rsidRDefault="00443EE6">
            <w:pPr>
              <w:rPr>
                <w:rFonts w:cs="Arial"/>
              </w:rPr>
            </w:pPr>
            <w:r w:rsidRPr="00DC04E7">
              <w:rPr>
                <w:rFonts w:cs="Arial"/>
              </w:rPr>
              <w:t>Jan-Mar 2023</w:t>
            </w:r>
          </w:p>
        </w:tc>
        <w:tc>
          <w:tcPr>
            <w:tcW w:w="2152" w:type="dxa"/>
            <w:tcBorders>
              <w:top w:val="nil"/>
              <w:left w:val="nil"/>
              <w:bottom w:val="single" w:sz="8" w:space="0" w:color="auto"/>
              <w:right w:val="single" w:sz="8" w:space="0" w:color="auto"/>
            </w:tcBorders>
          </w:tcPr>
          <w:p w14:paraId="3FD16FF7" w14:textId="4A9669C3" w:rsidR="007F6AD0" w:rsidRPr="00BE339A" w:rsidRDefault="007F6AD0" w:rsidP="007F6AD0">
            <w:pPr>
              <w:rPr>
                <w:rFonts w:cs="Arial"/>
              </w:rPr>
            </w:pPr>
            <w:r w:rsidRPr="00BE339A">
              <w:rPr>
                <w:rFonts w:cs="Arial"/>
              </w:rPr>
              <w:t>Communities and Place: £357,022</w:t>
            </w:r>
          </w:p>
          <w:p w14:paraId="43AC7878" w14:textId="77777777" w:rsidR="007F6AD0" w:rsidRDefault="007F6AD0" w:rsidP="007F6AD0">
            <w:pPr>
              <w:rPr>
                <w:rFonts w:cs="Arial"/>
              </w:rPr>
            </w:pPr>
          </w:p>
          <w:p w14:paraId="428A3AEC" w14:textId="09094519" w:rsidR="00E01BFA" w:rsidRPr="00DC04E7" w:rsidRDefault="007F6AD0" w:rsidP="007F6AD0">
            <w:pPr>
              <w:rPr>
                <w:rFonts w:cs="Arial"/>
              </w:rPr>
            </w:pPr>
            <w:r w:rsidRPr="00BE339A">
              <w:rPr>
                <w:rFonts w:cs="Arial"/>
              </w:rPr>
              <w:t>Supporting Local Business: £115,665</w:t>
            </w:r>
          </w:p>
        </w:tc>
      </w:tr>
      <w:tr w:rsidR="00443EE6" w:rsidRPr="00DC04E7" w14:paraId="5D81828C" w14:textId="36F16509" w:rsidTr="00A4606E">
        <w:trPr>
          <w:trHeight w:val="1185"/>
        </w:trPr>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8847B" w14:textId="77777777" w:rsidR="00443EE6" w:rsidRPr="00DC04E7" w:rsidRDefault="00443EE6">
            <w:pPr>
              <w:rPr>
                <w:rFonts w:cs="Arial"/>
              </w:rPr>
            </w:pPr>
            <w:r w:rsidRPr="00DC04E7">
              <w:rPr>
                <w:rFonts w:cs="Arial"/>
              </w:rPr>
              <w:lastRenderedPageBreak/>
              <w:t>2nd Milestone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71CF406B" w14:textId="77777777" w:rsidR="00443EE6" w:rsidRPr="00DC04E7" w:rsidRDefault="00443EE6">
            <w:pPr>
              <w:rPr>
                <w:rFonts w:cs="Arial"/>
              </w:rPr>
            </w:pPr>
            <w:r w:rsidRPr="00DC04E7">
              <w:rPr>
                <w:rFonts w:cs="Arial"/>
              </w:rPr>
              <w:t>Your 2023/24 allocation will be paid, provided that satisfactory progress is being made against delivery of the activities set out in the proposal and forecast outputs and outcomes for the previous financial years have been met, or failing that, that there is a credible plan agreed to address underperformance.</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36E72BA1" w14:textId="77777777" w:rsidR="00443EE6" w:rsidRPr="00DC04E7" w:rsidRDefault="00443EE6">
            <w:pPr>
              <w:rPr>
                <w:rFonts w:cs="Arial"/>
              </w:rPr>
            </w:pPr>
            <w:r w:rsidRPr="00DC04E7">
              <w:rPr>
                <w:rFonts w:cs="Arial"/>
              </w:rPr>
              <w:t>Jul-Sep 2023</w:t>
            </w:r>
          </w:p>
        </w:tc>
        <w:tc>
          <w:tcPr>
            <w:tcW w:w="2152" w:type="dxa"/>
            <w:tcBorders>
              <w:top w:val="nil"/>
              <w:left w:val="nil"/>
              <w:bottom w:val="single" w:sz="8" w:space="0" w:color="auto"/>
              <w:right w:val="single" w:sz="8" w:space="0" w:color="auto"/>
            </w:tcBorders>
          </w:tcPr>
          <w:p w14:paraId="7BCCA78D" w14:textId="77777777" w:rsidR="00A4606E" w:rsidRDefault="00A4606E" w:rsidP="00A4606E">
            <w:pPr>
              <w:rPr>
                <w:rFonts w:cs="Arial"/>
              </w:rPr>
            </w:pPr>
            <w:r w:rsidRPr="00BE339A">
              <w:rPr>
                <w:rFonts w:cs="Arial"/>
              </w:rPr>
              <w:t>Communities and Place: £357,022</w:t>
            </w:r>
          </w:p>
          <w:p w14:paraId="3F047178" w14:textId="77777777" w:rsidR="00A4606E" w:rsidRPr="00BE339A" w:rsidRDefault="00A4606E" w:rsidP="00A4606E">
            <w:pPr>
              <w:rPr>
                <w:rFonts w:cs="Arial"/>
              </w:rPr>
            </w:pPr>
          </w:p>
          <w:p w14:paraId="65BDE24F" w14:textId="7544C1EF" w:rsidR="00443EE6" w:rsidRPr="00DC04E7" w:rsidRDefault="00A4606E" w:rsidP="00A4606E">
            <w:pPr>
              <w:rPr>
                <w:rFonts w:cs="Arial"/>
              </w:rPr>
            </w:pPr>
            <w:r w:rsidRPr="00BE339A">
              <w:rPr>
                <w:rFonts w:cs="Arial"/>
              </w:rPr>
              <w:t>Supporting Local Business: £115,665</w:t>
            </w:r>
          </w:p>
        </w:tc>
      </w:tr>
      <w:tr w:rsidR="00443EE6" w:rsidRPr="00DC04E7" w14:paraId="71538819" w14:textId="31050B48" w:rsidTr="00A4606E">
        <w:trPr>
          <w:trHeight w:val="300"/>
        </w:trPr>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A2481" w14:textId="77777777" w:rsidR="00443EE6" w:rsidRPr="00DC04E7" w:rsidRDefault="00443EE6">
            <w:pPr>
              <w:rPr>
                <w:rFonts w:cs="Arial"/>
              </w:rPr>
            </w:pPr>
            <w:r w:rsidRPr="00DC04E7">
              <w:rPr>
                <w:rFonts w:cs="Arial"/>
              </w:rPr>
              <w:t>3rd Milestone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04D73512" w14:textId="77777777" w:rsidR="00443EE6" w:rsidRPr="00DC04E7" w:rsidRDefault="00443EE6">
            <w:pPr>
              <w:rPr>
                <w:rFonts w:cs="Arial"/>
              </w:rPr>
            </w:pPr>
            <w:r w:rsidRPr="00DC04E7">
              <w:rPr>
                <w:rFonts w:cs="Arial"/>
              </w:rPr>
              <w:t>90% of your 2024/25 allocation will be paid, provided that satisfactory progress is being made against delivery of the activities set out in the proposal and forecast outputs and outcomes for the previous financial years have been met, or failing that, that there is a credible plan agreed to address underperformance.</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4F1B9C99" w14:textId="77777777" w:rsidR="00443EE6" w:rsidRPr="00DC04E7" w:rsidRDefault="00443EE6">
            <w:pPr>
              <w:rPr>
                <w:rFonts w:cs="Arial"/>
              </w:rPr>
            </w:pPr>
            <w:r w:rsidRPr="00DC04E7">
              <w:rPr>
                <w:rFonts w:cs="Arial"/>
              </w:rPr>
              <w:t>Jul-Sep 2024</w:t>
            </w:r>
          </w:p>
        </w:tc>
        <w:tc>
          <w:tcPr>
            <w:tcW w:w="2152" w:type="dxa"/>
            <w:tcBorders>
              <w:top w:val="nil"/>
              <w:left w:val="nil"/>
              <w:bottom w:val="single" w:sz="8" w:space="0" w:color="auto"/>
              <w:right w:val="single" w:sz="8" w:space="0" w:color="auto"/>
            </w:tcBorders>
          </w:tcPr>
          <w:p w14:paraId="4EBBE7B6" w14:textId="77777777" w:rsidR="00B35693" w:rsidRDefault="00B35693" w:rsidP="00B35693">
            <w:pPr>
              <w:rPr>
                <w:rFonts w:cs="Arial"/>
              </w:rPr>
            </w:pPr>
            <w:r w:rsidRPr="00B35693">
              <w:rPr>
                <w:rFonts w:cs="Arial"/>
              </w:rPr>
              <w:t>Communities and Place: £321,317</w:t>
            </w:r>
          </w:p>
          <w:p w14:paraId="0152660B" w14:textId="77777777" w:rsidR="00B35693" w:rsidRPr="00B35693" w:rsidRDefault="00B35693" w:rsidP="00B35693">
            <w:pPr>
              <w:rPr>
                <w:rFonts w:cs="Arial"/>
              </w:rPr>
            </w:pPr>
          </w:p>
          <w:p w14:paraId="298E9CB4" w14:textId="19B50BA2" w:rsidR="00443EE6" w:rsidRPr="00DC04E7" w:rsidRDefault="00B35693" w:rsidP="00B35693">
            <w:pPr>
              <w:rPr>
                <w:rFonts w:cs="Arial"/>
              </w:rPr>
            </w:pPr>
            <w:r w:rsidRPr="00B35693">
              <w:rPr>
                <w:rFonts w:cs="Arial"/>
              </w:rPr>
              <w:t>Supporting Local Business: £104,100</w:t>
            </w:r>
          </w:p>
        </w:tc>
      </w:tr>
      <w:tr w:rsidR="00443EE6" w:rsidRPr="00DC04E7" w14:paraId="7E5B037E" w14:textId="4C70518C" w:rsidTr="00A4606E">
        <w:trPr>
          <w:trHeight w:val="300"/>
        </w:trPr>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92437" w14:textId="77777777" w:rsidR="00443EE6" w:rsidRPr="00DC04E7" w:rsidRDefault="00443EE6">
            <w:pPr>
              <w:rPr>
                <w:rFonts w:cs="Arial"/>
              </w:rPr>
            </w:pPr>
            <w:r w:rsidRPr="00DC04E7">
              <w:rPr>
                <w:rFonts w:cs="Arial"/>
              </w:rPr>
              <w:t>4th Milestone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0A0F12A6" w14:textId="77777777" w:rsidR="00443EE6" w:rsidRPr="00DC04E7" w:rsidRDefault="00443EE6">
            <w:pPr>
              <w:rPr>
                <w:rFonts w:cs="Arial"/>
              </w:rPr>
            </w:pPr>
            <w:r w:rsidRPr="00DC04E7">
              <w:rPr>
                <w:rFonts w:cs="Arial"/>
              </w:rPr>
              <w:t>10% of your 2024/25 allocation will be released upon satisfactory completion of activity.</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14:paraId="7F4B1469" w14:textId="77777777" w:rsidR="00443EE6" w:rsidRPr="00DC04E7" w:rsidRDefault="00443EE6">
            <w:pPr>
              <w:rPr>
                <w:rFonts w:cs="Arial"/>
              </w:rPr>
            </w:pPr>
            <w:r w:rsidRPr="00DC04E7">
              <w:rPr>
                <w:rFonts w:cs="Arial"/>
              </w:rPr>
              <w:t>Apr 2025</w:t>
            </w:r>
          </w:p>
        </w:tc>
        <w:tc>
          <w:tcPr>
            <w:tcW w:w="2152" w:type="dxa"/>
            <w:tcBorders>
              <w:top w:val="nil"/>
              <w:left w:val="nil"/>
              <w:bottom w:val="single" w:sz="8" w:space="0" w:color="auto"/>
              <w:right w:val="single" w:sz="8" w:space="0" w:color="auto"/>
            </w:tcBorders>
          </w:tcPr>
          <w:p w14:paraId="2E7EE2CC" w14:textId="77777777" w:rsidR="00C908E7" w:rsidRDefault="00C908E7" w:rsidP="00C908E7">
            <w:pPr>
              <w:rPr>
                <w:rFonts w:cs="Arial"/>
              </w:rPr>
            </w:pPr>
            <w:r w:rsidRPr="00C908E7">
              <w:rPr>
                <w:rFonts w:cs="Arial"/>
              </w:rPr>
              <w:t>Communities and Place: £35,702</w:t>
            </w:r>
          </w:p>
          <w:p w14:paraId="574393B6" w14:textId="77777777" w:rsidR="00C908E7" w:rsidRPr="00C908E7" w:rsidRDefault="00C908E7" w:rsidP="00C908E7">
            <w:pPr>
              <w:rPr>
                <w:rFonts w:cs="Arial"/>
              </w:rPr>
            </w:pPr>
          </w:p>
          <w:p w14:paraId="0BF54EE4" w14:textId="54CF6A60" w:rsidR="00443EE6" w:rsidRPr="00DC04E7" w:rsidRDefault="00C908E7" w:rsidP="00C908E7">
            <w:pPr>
              <w:rPr>
                <w:rFonts w:cs="Arial"/>
              </w:rPr>
            </w:pPr>
            <w:r w:rsidRPr="00C908E7">
              <w:rPr>
                <w:rFonts w:cs="Arial"/>
              </w:rPr>
              <w:t>Supporting Local Business: £11,565</w:t>
            </w:r>
          </w:p>
        </w:tc>
      </w:tr>
    </w:tbl>
    <w:p w14:paraId="08677FFB" w14:textId="77777777" w:rsidR="001E0D77" w:rsidRPr="00401737" w:rsidRDefault="001E0D77" w:rsidP="0054590F">
      <w:pPr>
        <w:rPr>
          <w:szCs w:val="24"/>
        </w:rPr>
      </w:pPr>
    </w:p>
    <w:p w14:paraId="211340B3" w14:textId="4D09CDAE" w:rsidR="00333FAA" w:rsidRDefault="00333FAA" w:rsidP="0054590F">
      <w:pPr>
        <w:pStyle w:val="Heading4"/>
        <w:rPr>
          <w:szCs w:val="24"/>
        </w:rPr>
      </w:pPr>
      <w:r w:rsidRPr="00401737">
        <w:rPr>
          <w:szCs w:val="24"/>
        </w:rPr>
        <w:t>Staffing/workforce</w:t>
      </w:r>
    </w:p>
    <w:p w14:paraId="528A43EE" w14:textId="63D81C71" w:rsidR="00622496" w:rsidRDefault="00622496" w:rsidP="00622496">
      <w:r>
        <w:t xml:space="preserve">Some of the UKSPF funding will be used to employ staff to deliver the project(s) in the relevant service area. These costs were included in the Council’s submission to the GLA. This includes: </w:t>
      </w:r>
    </w:p>
    <w:p w14:paraId="58D77DB5" w14:textId="0E4DC563" w:rsidR="003C27A6" w:rsidRDefault="00622496">
      <w:pPr>
        <w:pStyle w:val="ListParagraph"/>
        <w:numPr>
          <w:ilvl w:val="0"/>
          <w:numId w:val="9"/>
        </w:numPr>
      </w:pPr>
      <w:r>
        <w:t>A</w:t>
      </w:r>
      <w:r w:rsidR="003928BA">
        <w:t xml:space="preserve"> Project</w:t>
      </w:r>
      <w:r w:rsidR="003C27A6">
        <w:t xml:space="preserve"> Officer </w:t>
      </w:r>
      <w:r>
        <w:t xml:space="preserve">for the </w:t>
      </w:r>
      <w:r w:rsidRPr="00896A41">
        <w:t xml:space="preserve">Energy </w:t>
      </w:r>
      <w:r w:rsidR="00BA05BE">
        <w:t>A</w:t>
      </w:r>
      <w:r w:rsidRPr="00896A41">
        <w:t xml:space="preserve">dvice and </w:t>
      </w:r>
      <w:r>
        <w:t>S</w:t>
      </w:r>
      <w:r w:rsidRPr="00896A41">
        <w:t xml:space="preserve">upport for </w:t>
      </w:r>
      <w:r w:rsidR="00F64F5A">
        <w:t>C</w:t>
      </w:r>
      <w:r w:rsidRPr="00896A41">
        <w:t>ost-of-living</w:t>
      </w:r>
      <w:r>
        <w:t xml:space="preserve"> project</w:t>
      </w:r>
    </w:p>
    <w:p w14:paraId="4F643677" w14:textId="42922AD6" w:rsidR="00622496" w:rsidRPr="00622496" w:rsidRDefault="00622496">
      <w:pPr>
        <w:pStyle w:val="ListParagraph"/>
        <w:numPr>
          <w:ilvl w:val="0"/>
          <w:numId w:val="9"/>
        </w:numPr>
      </w:pPr>
      <w:r>
        <w:t xml:space="preserve">A </w:t>
      </w:r>
      <w:r w:rsidR="003928BA">
        <w:t>Project Officer</w:t>
      </w:r>
      <w:r w:rsidR="00BC074D">
        <w:t>/Park Ranger</w:t>
      </w:r>
      <w:r w:rsidR="003928BA">
        <w:t xml:space="preserve"> </w:t>
      </w:r>
      <w:r>
        <w:t xml:space="preserve">for the </w:t>
      </w:r>
      <w:r w:rsidR="00E57C45" w:rsidRPr="00AF64B9">
        <w:rPr>
          <w:rFonts w:cs="Arial"/>
          <w:color w:val="000000"/>
          <w:szCs w:val="24"/>
          <w:lang w:eastAsia="en-GB"/>
        </w:rPr>
        <w:t>Support to Park</w:t>
      </w:r>
      <w:r w:rsidR="00E57C45">
        <w:rPr>
          <w:rFonts w:cs="Arial"/>
          <w:color w:val="000000"/>
          <w:szCs w:val="24"/>
          <w:lang w:eastAsia="en-GB"/>
        </w:rPr>
        <w:t>s and Open Spaces</w:t>
      </w:r>
    </w:p>
    <w:p w14:paraId="7AA5D530" w14:textId="77777777" w:rsidR="00307F76" w:rsidRDefault="00307F76" w:rsidP="001472A8">
      <w:pPr>
        <w:spacing w:before="240"/>
        <w:rPr>
          <w:b/>
          <w:szCs w:val="24"/>
        </w:rPr>
      </w:pPr>
      <w:r w:rsidRPr="00F06E4E">
        <w:rPr>
          <w:b/>
          <w:szCs w:val="24"/>
        </w:rPr>
        <w:t xml:space="preserve">Ward Councillors’ comments </w:t>
      </w:r>
    </w:p>
    <w:p w14:paraId="15CF9721" w14:textId="43ED34C2" w:rsidR="00064B73" w:rsidRPr="00F64F5A" w:rsidRDefault="00F64F5A" w:rsidP="001472A8">
      <w:pPr>
        <w:spacing w:before="240"/>
        <w:rPr>
          <w:bCs/>
          <w:szCs w:val="24"/>
        </w:rPr>
      </w:pPr>
      <w:r w:rsidRPr="00F64F5A">
        <w:rPr>
          <w:bCs/>
          <w:szCs w:val="24"/>
        </w:rPr>
        <w:t>Not applicable</w:t>
      </w:r>
    </w:p>
    <w:p w14:paraId="46F07B30" w14:textId="77777777" w:rsidR="00955421" w:rsidRPr="00307F76" w:rsidRDefault="00955421" w:rsidP="0054590F">
      <w:pPr>
        <w:rPr>
          <w:b/>
        </w:rPr>
      </w:pPr>
    </w:p>
    <w:p w14:paraId="12B2B7E2" w14:textId="77777777" w:rsidR="00333FAA" w:rsidRPr="00880213" w:rsidRDefault="00333FAA" w:rsidP="0054590F">
      <w:pPr>
        <w:pStyle w:val="Heading4"/>
        <w:tabs>
          <w:tab w:val="left" w:pos="3600"/>
        </w:tabs>
        <w:rPr>
          <w:szCs w:val="24"/>
        </w:rPr>
      </w:pPr>
      <w:r w:rsidRPr="00880213">
        <w:rPr>
          <w:szCs w:val="24"/>
        </w:rPr>
        <w:t>Performance Issues</w:t>
      </w:r>
    </w:p>
    <w:p w14:paraId="5C588F88" w14:textId="596C47D3" w:rsidR="00B273E7" w:rsidRDefault="778C3FFA" w:rsidP="00338FA4">
      <w:pPr>
        <w:pStyle w:val="paragraph"/>
        <w:spacing w:before="0" w:beforeAutospacing="0" w:after="0" w:afterAutospacing="0"/>
        <w:textAlignment w:val="baseline"/>
        <w:rPr>
          <w:rFonts w:ascii="Arial" w:eastAsia="Arial" w:hAnsi="Arial" w:cs="Arial"/>
        </w:rPr>
      </w:pPr>
      <w:r w:rsidRPr="00338FA4">
        <w:rPr>
          <w:rStyle w:val="eop"/>
          <w:rFonts w:ascii="Arial" w:eastAsia="Arial" w:hAnsi="Arial" w:cs="Arial"/>
        </w:rPr>
        <w:t xml:space="preserve">The Grant </w:t>
      </w:r>
      <w:r w:rsidR="00880213">
        <w:rPr>
          <w:rStyle w:val="eop"/>
          <w:rFonts w:ascii="Arial" w:eastAsia="Arial" w:hAnsi="Arial" w:cs="Arial"/>
        </w:rPr>
        <w:t xml:space="preserve">Funding </w:t>
      </w:r>
      <w:r w:rsidRPr="00338FA4">
        <w:rPr>
          <w:rStyle w:val="eop"/>
          <w:rFonts w:ascii="Arial" w:eastAsia="Arial" w:hAnsi="Arial" w:cs="Arial"/>
        </w:rPr>
        <w:t xml:space="preserve">Agreement </w:t>
      </w:r>
      <w:r w:rsidR="00880213">
        <w:rPr>
          <w:rStyle w:val="eop"/>
          <w:rFonts w:ascii="Arial" w:eastAsia="Arial" w:hAnsi="Arial" w:cs="Arial"/>
        </w:rPr>
        <w:t xml:space="preserve">(GFA) </w:t>
      </w:r>
      <w:r w:rsidRPr="00338FA4">
        <w:rPr>
          <w:rStyle w:val="eop"/>
          <w:rFonts w:ascii="Arial" w:eastAsia="Arial" w:hAnsi="Arial" w:cs="Arial"/>
        </w:rPr>
        <w:t>includes</w:t>
      </w:r>
      <w:r w:rsidR="338FF5C8" w:rsidRPr="00338FA4">
        <w:rPr>
          <w:rStyle w:val="eop"/>
          <w:rFonts w:ascii="Arial" w:eastAsia="Arial" w:hAnsi="Arial" w:cs="Arial"/>
        </w:rPr>
        <w:t xml:space="preserve"> </w:t>
      </w:r>
      <w:r w:rsidR="0062212B">
        <w:rPr>
          <w:rStyle w:val="eop"/>
          <w:rFonts w:ascii="Arial" w:eastAsia="Arial" w:hAnsi="Arial" w:cs="Arial"/>
        </w:rPr>
        <w:t xml:space="preserve">the following outputs and outcomes that the council has agreed to deliver as </w:t>
      </w:r>
    </w:p>
    <w:p w14:paraId="04C124A9" w14:textId="77777777" w:rsidR="00B65B60" w:rsidRDefault="00B65B60" w:rsidP="00338FA4">
      <w:pPr>
        <w:pStyle w:val="paragraph"/>
        <w:spacing w:before="0" w:beforeAutospacing="0" w:after="0" w:afterAutospacing="0"/>
        <w:textAlignment w:val="baseline"/>
        <w:rPr>
          <w:rFonts w:ascii="Arial" w:eastAsia="Arial" w:hAnsi="Arial" w:cs="Arial"/>
        </w:rPr>
      </w:pPr>
    </w:p>
    <w:p w14:paraId="49D9E8AE" w14:textId="58A42871" w:rsidR="00B65B60" w:rsidRPr="00B65B60" w:rsidRDefault="00B65B60" w:rsidP="00338FA4">
      <w:pPr>
        <w:pStyle w:val="paragraph"/>
        <w:spacing w:before="0" w:beforeAutospacing="0" w:after="0" w:afterAutospacing="0"/>
        <w:textAlignment w:val="baseline"/>
        <w:rPr>
          <w:rFonts w:ascii="Arial" w:eastAsia="Arial" w:hAnsi="Arial" w:cs="Arial"/>
          <w:b/>
          <w:bCs/>
        </w:rPr>
      </w:pPr>
      <w:r w:rsidRPr="00B65B60">
        <w:rPr>
          <w:rFonts w:ascii="Arial" w:eastAsia="Arial" w:hAnsi="Arial" w:cs="Arial"/>
          <w:b/>
          <w:bCs/>
        </w:rPr>
        <w:t>Communities and Place Outputs and Outcomes</w:t>
      </w:r>
    </w:p>
    <w:tbl>
      <w:tblPr>
        <w:tblStyle w:val="TableGrid"/>
        <w:tblW w:w="9209" w:type="dxa"/>
        <w:tblLook w:val="04A0" w:firstRow="1" w:lastRow="0" w:firstColumn="1" w:lastColumn="0" w:noHBand="0" w:noVBand="1"/>
      </w:tblPr>
      <w:tblGrid>
        <w:gridCol w:w="2405"/>
        <w:gridCol w:w="5528"/>
        <w:gridCol w:w="1276"/>
      </w:tblGrid>
      <w:tr w:rsidR="00EA00D9" w:rsidRPr="00643065" w14:paraId="546A7F6F" w14:textId="77777777" w:rsidTr="132DE210">
        <w:trPr>
          <w:trHeight w:val="360"/>
        </w:trPr>
        <w:tc>
          <w:tcPr>
            <w:tcW w:w="2405" w:type="dxa"/>
            <w:shd w:val="clear" w:color="auto" w:fill="D9D9D9" w:themeFill="background1" w:themeFillShade="D9"/>
          </w:tcPr>
          <w:p w14:paraId="673BFA7D" w14:textId="1081CA29" w:rsidR="00EA00D9" w:rsidRPr="00643065" w:rsidRDefault="00EA00D9" w:rsidP="00FA7E4A">
            <w:pPr>
              <w:pStyle w:val="paragraph"/>
              <w:textAlignment w:val="baseline"/>
              <w:rPr>
                <w:rFonts w:ascii="Arial" w:eastAsia="Arial" w:hAnsi="Arial" w:cs="Arial"/>
                <w:b/>
                <w:bCs/>
              </w:rPr>
            </w:pPr>
            <w:r w:rsidRPr="00643065">
              <w:rPr>
                <w:rFonts w:ascii="Arial" w:eastAsia="Arial" w:hAnsi="Arial" w:cs="Arial"/>
                <w:b/>
                <w:bCs/>
              </w:rPr>
              <w:t>Outputs</w:t>
            </w:r>
          </w:p>
        </w:tc>
        <w:tc>
          <w:tcPr>
            <w:tcW w:w="5528" w:type="dxa"/>
            <w:shd w:val="clear" w:color="auto" w:fill="D9D9D9" w:themeFill="background1" w:themeFillShade="D9"/>
            <w:noWrap/>
          </w:tcPr>
          <w:p w14:paraId="055BE5A1" w14:textId="77777777" w:rsidR="00EA00D9" w:rsidRPr="00643065" w:rsidRDefault="00EA00D9" w:rsidP="00FA7E4A">
            <w:pPr>
              <w:pStyle w:val="paragraph"/>
              <w:textAlignment w:val="baseline"/>
              <w:rPr>
                <w:rFonts w:ascii="Arial" w:eastAsia="Arial" w:hAnsi="Arial" w:cs="Arial"/>
              </w:rPr>
            </w:pPr>
          </w:p>
        </w:tc>
        <w:tc>
          <w:tcPr>
            <w:tcW w:w="1276" w:type="dxa"/>
            <w:shd w:val="clear" w:color="auto" w:fill="D9D9D9" w:themeFill="background1" w:themeFillShade="D9"/>
            <w:noWrap/>
          </w:tcPr>
          <w:p w14:paraId="3184F2FC" w14:textId="77777777" w:rsidR="00EA00D9" w:rsidRPr="00643065" w:rsidRDefault="00EA00D9" w:rsidP="00FA7E4A">
            <w:pPr>
              <w:pStyle w:val="paragraph"/>
              <w:textAlignment w:val="baseline"/>
              <w:rPr>
                <w:rFonts w:ascii="Arial" w:eastAsia="Arial" w:hAnsi="Arial" w:cs="Arial"/>
                <w:b/>
                <w:bCs/>
              </w:rPr>
            </w:pPr>
          </w:p>
        </w:tc>
      </w:tr>
      <w:tr w:rsidR="00EA00D9" w:rsidRPr="00643065" w14:paraId="0D3BAB24" w14:textId="77777777" w:rsidTr="132DE210">
        <w:trPr>
          <w:trHeight w:val="360"/>
        </w:trPr>
        <w:tc>
          <w:tcPr>
            <w:tcW w:w="2405" w:type="dxa"/>
            <w:hideMark/>
          </w:tcPr>
          <w:p w14:paraId="11B18E09" w14:textId="3E2EB7DB" w:rsidR="00EA00D9" w:rsidRPr="00643065" w:rsidRDefault="00EA00D9" w:rsidP="00FA7E4A">
            <w:pPr>
              <w:pStyle w:val="paragraph"/>
              <w:textAlignment w:val="baseline"/>
              <w:rPr>
                <w:rFonts w:ascii="Arial" w:eastAsia="Arial" w:hAnsi="Arial" w:cs="Arial"/>
                <w:b/>
                <w:bCs/>
              </w:rPr>
            </w:pPr>
            <w:r w:rsidRPr="00643065">
              <w:rPr>
                <w:rFonts w:ascii="Arial" w:eastAsia="Arial" w:hAnsi="Arial" w:cs="Arial"/>
                <w:b/>
                <w:bCs/>
              </w:rPr>
              <w:t>Harrow High Street Fund</w:t>
            </w:r>
          </w:p>
        </w:tc>
        <w:tc>
          <w:tcPr>
            <w:tcW w:w="5528" w:type="dxa"/>
            <w:noWrap/>
            <w:hideMark/>
          </w:tcPr>
          <w:p w14:paraId="71D444D9" w14:textId="3DC0C94E" w:rsidR="00EA00D9" w:rsidRPr="00643065" w:rsidRDefault="00EA00D9" w:rsidP="00FA7E4A">
            <w:pPr>
              <w:pStyle w:val="paragraph"/>
              <w:textAlignment w:val="baseline"/>
              <w:rPr>
                <w:rFonts w:ascii="Arial" w:eastAsia="Arial" w:hAnsi="Arial" w:cs="Arial"/>
              </w:rPr>
            </w:pPr>
            <w:r w:rsidRPr="00643065">
              <w:rPr>
                <w:rFonts w:ascii="Arial" w:eastAsia="Arial" w:hAnsi="Arial" w:cs="Arial"/>
              </w:rPr>
              <w:t xml:space="preserve">E1: Amount of public realm created or improved </w:t>
            </w:r>
            <w:r w:rsidR="00420111">
              <w:rPr>
                <w:rFonts w:ascii="Arial" w:eastAsia="Arial" w:hAnsi="Arial" w:cs="Arial"/>
              </w:rPr>
              <w:t>s</w:t>
            </w:r>
            <w:r w:rsidR="005B1056">
              <w:rPr>
                <w:rFonts w:ascii="Arial" w:eastAsia="Arial" w:hAnsi="Arial" w:cs="Arial"/>
              </w:rPr>
              <w:t xml:space="preserve">quare metres </w:t>
            </w:r>
            <w:r w:rsidRPr="00643065">
              <w:rPr>
                <w:rFonts w:ascii="Arial" w:eastAsia="Arial" w:hAnsi="Arial" w:cs="Arial"/>
              </w:rPr>
              <w:t>(m2)</w:t>
            </w:r>
            <w:r w:rsidR="009306E4">
              <w:rPr>
                <w:rFonts w:ascii="Arial" w:eastAsia="Arial" w:hAnsi="Arial" w:cs="Arial"/>
              </w:rPr>
              <w:t xml:space="preserve"> </w:t>
            </w:r>
          </w:p>
        </w:tc>
        <w:tc>
          <w:tcPr>
            <w:tcW w:w="1276" w:type="dxa"/>
            <w:noWrap/>
            <w:hideMark/>
          </w:tcPr>
          <w:p w14:paraId="77623296" w14:textId="03DF400F" w:rsidR="00EA00D9" w:rsidRPr="00643065" w:rsidRDefault="00EA00D9" w:rsidP="00C652FB">
            <w:pPr>
              <w:pStyle w:val="paragraph"/>
              <w:jc w:val="center"/>
              <w:textAlignment w:val="baseline"/>
              <w:rPr>
                <w:rFonts w:ascii="Arial" w:eastAsia="Arial" w:hAnsi="Arial" w:cs="Arial"/>
                <w:b/>
                <w:bCs/>
              </w:rPr>
            </w:pPr>
            <w:r w:rsidRPr="132DE210">
              <w:rPr>
                <w:rFonts w:ascii="Arial" w:eastAsia="Arial" w:hAnsi="Arial" w:cs="Arial"/>
                <w:b/>
                <w:bCs/>
              </w:rPr>
              <w:t>280</w:t>
            </w:r>
          </w:p>
        </w:tc>
      </w:tr>
      <w:tr w:rsidR="00EA00D9" w:rsidRPr="00643065" w14:paraId="18482E4E" w14:textId="77777777" w:rsidTr="132DE210">
        <w:trPr>
          <w:trHeight w:val="360"/>
        </w:trPr>
        <w:tc>
          <w:tcPr>
            <w:tcW w:w="2405" w:type="dxa"/>
            <w:vMerge w:val="restart"/>
            <w:hideMark/>
          </w:tcPr>
          <w:p w14:paraId="288C8FDA" w14:textId="06CF5C24" w:rsidR="00EA00D9" w:rsidRPr="00643065" w:rsidRDefault="00EA00D9" w:rsidP="00FA7E4A">
            <w:pPr>
              <w:pStyle w:val="paragraph"/>
              <w:textAlignment w:val="baseline"/>
              <w:rPr>
                <w:rFonts w:ascii="Arial" w:eastAsia="Arial" w:hAnsi="Arial" w:cs="Arial"/>
                <w:b/>
                <w:bCs/>
              </w:rPr>
            </w:pPr>
            <w:r w:rsidRPr="00643065">
              <w:rPr>
                <w:rFonts w:ascii="Arial" w:eastAsia="Arial" w:hAnsi="Arial" w:cs="Arial"/>
                <w:b/>
                <w:bCs/>
              </w:rPr>
              <w:t>Harrow Arts Centre - Phase 2</w:t>
            </w:r>
          </w:p>
        </w:tc>
        <w:tc>
          <w:tcPr>
            <w:tcW w:w="5528" w:type="dxa"/>
            <w:noWrap/>
            <w:hideMark/>
          </w:tcPr>
          <w:p w14:paraId="04179E91" w14:textId="77777777" w:rsidR="00EA00D9" w:rsidRPr="00643065" w:rsidRDefault="00EA00D9" w:rsidP="00FA7E4A">
            <w:pPr>
              <w:pStyle w:val="paragraph"/>
              <w:textAlignment w:val="baseline"/>
              <w:rPr>
                <w:rFonts w:ascii="Arial" w:eastAsia="Arial" w:hAnsi="Arial" w:cs="Arial"/>
              </w:rPr>
            </w:pPr>
            <w:r w:rsidRPr="00643065">
              <w:rPr>
                <w:rFonts w:ascii="Arial" w:eastAsia="Arial" w:hAnsi="Arial" w:cs="Arial"/>
              </w:rPr>
              <w:t>E1: Amount of commercial completed or improved (m2)</w:t>
            </w:r>
          </w:p>
        </w:tc>
        <w:tc>
          <w:tcPr>
            <w:tcW w:w="1276" w:type="dxa"/>
            <w:noWrap/>
            <w:hideMark/>
          </w:tcPr>
          <w:p w14:paraId="192AC159" w14:textId="77777777" w:rsidR="00EA00D9" w:rsidRPr="00643065" w:rsidRDefault="00EA00D9" w:rsidP="00C652FB">
            <w:pPr>
              <w:pStyle w:val="paragraph"/>
              <w:jc w:val="center"/>
              <w:textAlignment w:val="baseline"/>
              <w:rPr>
                <w:rFonts w:ascii="Arial" w:eastAsia="Arial" w:hAnsi="Arial" w:cs="Arial"/>
                <w:b/>
                <w:bCs/>
              </w:rPr>
            </w:pPr>
            <w:r w:rsidRPr="00643065">
              <w:rPr>
                <w:rFonts w:ascii="Arial" w:eastAsia="Arial" w:hAnsi="Arial" w:cs="Arial"/>
                <w:b/>
                <w:bCs/>
              </w:rPr>
              <w:t>400</w:t>
            </w:r>
          </w:p>
        </w:tc>
      </w:tr>
      <w:tr w:rsidR="00EA00D9" w:rsidRPr="00643065" w14:paraId="0C4C094A" w14:textId="77777777" w:rsidTr="132DE210">
        <w:trPr>
          <w:trHeight w:val="360"/>
        </w:trPr>
        <w:tc>
          <w:tcPr>
            <w:tcW w:w="2405" w:type="dxa"/>
            <w:vMerge/>
            <w:hideMark/>
          </w:tcPr>
          <w:p w14:paraId="242517F1" w14:textId="77777777" w:rsidR="00EA00D9" w:rsidRPr="00643065" w:rsidRDefault="00EA00D9" w:rsidP="00FA7E4A">
            <w:pPr>
              <w:pStyle w:val="paragraph"/>
              <w:textAlignment w:val="baseline"/>
              <w:rPr>
                <w:rFonts w:ascii="Arial" w:eastAsia="Arial" w:hAnsi="Arial" w:cs="Arial"/>
                <w:b/>
                <w:bCs/>
              </w:rPr>
            </w:pPr>
          </w:p>
        </w:tc>
        <w:tc>
          <w:tcPr>
            <w:tcW w:w="5528" w:type="dxa"/>
            <w:noWrap/>
            <w:hideMark/>
          </w:tcPr>
          <w:p w14:paraId="285409EC" w14:textId="77777777" w:rsidR="00EA00D9" w:rsidRPr="00643065" w:rsidRDefault="00EA00D9" w:rsidP="00FA7E4A">
            <w:pPr>
              <w:pStyle w:val="paragraph"/>
              <w:textAlignment w:val="baseline"/>
              <w:rPr>
                <w:rFonts w:ascii="Arial" w:eastAsia="Arial" w:hAnsi="Arial" w:cs="Arial"/>
              </w:rPr>
            </w:pPr>
            <w:r w:rsidRPr="00643065">
              <w:rPr>
                <w:rFonts w:ascii="Arial" w:eastAsia="Arial" w:hAnsi="Arial" w:cs="Arial"/>
              </w:rPr>
              <w:t>E1: Amount of public realm created or improved (m2)</w:t>
            </w:r>
          </w:p>
        </w:tc>
        <w:tc>
          <w:tcPr>
            <w:tcW w:w="1276" w:type="dxa"/>
            <w:noWrap/>
            <w:hideMark/>
          </w:tcPr>
          <w:p w14:paraId="3B0D6798" w14:textId="77777777" w:rsidR="00EA00D9" w:rsidRPr="00643065" w:rsidRDefault="00EA00D9" w:rsidP="00C652FB">
            <w:pPr>
              <w:pStyle w:val="paragraph"/>
              <w:jc w:val="center"/>
              <w:textAlignment w:val="baseline"/>
              <w:rPr>
                <w:rFonts w:ascii="Arial" w:eastAsia="Arial" w:hAnsi="Arial" w:cs="Arial"/>
                <w:b/>
                <w:bCs/>
              </w:rPr>
            </w:pPr>
            <w:r w:rsidRPr="00643065">
              <w:rPr>
                <w:rFonts w:ascii="Arial" w:eastAsia="Arial" w:hAnsi="Arial" w:cs="Arial"/>
                <w:b/>
                <w:bCs/>
              </w:rPr>
              <w:t>50</w:t>
            </w:r>
          </w:p>
        </w:tc>
      </w:tr>
      <w:tr w:rsidR="00EA00D9" w:rsidRPr="00643065" w14:paraId="1D1435CC" w14:textId="77777777" w:rsidTr="132DE210">
        <w:trPr>
          <w:trHeight w:val="360"/>
        </w:trPr>
        <w:tc>
          <w:tcPr>
            <w:tcW w:w="2405" w:type="dxa"/>
            <w:vMerge/>
            <w:hideMark/>
          </w:tcPr>
          <w:p w14:paraId="545AD498" w14:textId="77777777" w:rsidR="00EA00D9" w:rsidRPr="00643065" w:rsidRDefault="00EA00D9" w:rsidP="00FA7E4A">
            <w:pPr>
              <w:pStyle w:val="paragraph"/>
              <w:textAlignment w:val="baseline"/>
              <w:rPr>
                <w:rFonts w:ascii="Arial" w:eastAsia="Arial" w:hAnsi="Arial" w:cs="Arial"/>
                <w:b/>
                <w:bCs/>
              </w:rPr>
            </w:pPr>
          </w:p>
        </w:tc>
        <w:tc>
          <w:tcPr>
            <w:tcW w:w="5528" w:type="dxa"/>
            <w:noWrap/>
            <w:hideMark/>
          </w:tcPr>
          <w:p w14:paraId="365666A6" w14:textId="77777777" w:rsidR="00EA00D9" w:rsidRPr="00643065" w:rsidRDefault="00EA00D9" w:rsidP="00FA7E4A">
            <w:pPr>
              <w:pStyle w:val="paragraph"/>
              <w:textAlignment w:val="baseline"/>
              <w:rPr>
                <w:rFonts w:ascii="Arial" w:eastAsia="Arial" w:hAnsi="Arial" w:cs="Arial"/>
              </w:rPr>
            </w:pPr>
            <w:r w:rsidRPr="00643065">
              <w:rPr>
                <w:rFonts w:ascii="Arial" w:eastAsia="Arial" w:hAnsi="Arial" w:cs="Arial"/>
              </w:rPr>
              <w:t>E4: Number of Tourism, Culture or heritage assets created or improved (numerical value)</w:t>
            </w:r>
          </w:p>
        </w:tc>
        <w:tc>
          <w:tcPr>
            <w:tcW w:w="1276" w:type="dxa"/>
            <w:noWrap/>
            <w:hideMark/>
          </w:tcPr>
          <w:p w14:paraId="2BACBE7B" w14:textId="77777777" w:rsidR="00EA00D9" w:rsidRPr="00643065" w:rsidRDefault="00EA00D9" w:rsidP="00C652FB">
            <w:pPr>
              <w:pStyle w:val="paragraph"/>
              <w:jc w:val="center"/>
              <w:textAlignment w:val="baseline"/>
              <w:rPr>
                <w:rFonts w:ascii="Arial" w:eastAsia="Arial" w:hAnsi="Arial" w:cs="Arial"/>
                <w:b/>
                <w:bCs/>
              </w:rPr>
            </w:pPr>
            <w:r w:rsidRPr="00643065">
              <w:rPr>
                <w:rFonts w:ascii="Arial" w:eastAsia="Arial" w:hAnsi="Arial" w:cs="Arial"/>
                <w:b/>
                <w:bCs/>
              </w:rPr>
              <w:t>1</w:t>
            </w:r>
          </w:p>
        </w:tc>
      </w:tr>
      <w:tr w:rsidR="00EA00D9" w:rsidRPr="00643065" w14:paraId="1E03D780" w14:textId="77777777" w:rsidTr="132DE210">
        <w:trPr>
          <w:trHeight w:val="360"/>
        </w:trPr>
        <w:tc>
          <w:tcPr>
            <w:tcW w:w="2405" w:type="dxa"/>
            <w:vMerge w:val="restart"/>
            <w:hideMark/>
          </w:tcPr>
          <w:p w14:paraId="6AAA0371" w14:textId="0275BCE9" w:rsidR="00EA00D9" w:rsidRPr="00643065" w:rsidRDefault="00EA00D9" w:rsidP="00FA7E4A">
            <w:pPr>
              <w:pStyle w:val="paragraph"/>
              <w:textAlignment w:val="baseline"/>
              <w:rPr>
                <w:rFonts w:ascii="Arial" w:eastAsia="Arial" w:hAnsi="Arial" w:cs="Arial"/>
                <w:b/>
                <w:bCs/>
              </w:rPr>
            </w:pPr>
            <w:r w:rsidRPr="00643065">
              <w:rPr>
                <w:rFonts w:ascii="Arial" w:eastAsia="Arial" w:hAnsi="Arial" w:cs="Arial"/>
                <w:b/>
                <w:bCs/>
              </w:rPr>
              <w:t>Support to parks and open spaces</w:t>
            </w:r>
          </w:p>
        </w:tc>
        <w:tc>
          <w:tcPr>
            <w:tcW w:w="5528" w:type="dxa"/>
            <w:noWrap/>
            <w:hideMark/>
          </w:tcPr>
          <w:p w14:paraId="659FAEBE" w14:textId="77777777" w:rsidR="00EA00D9" w:rsidRPr="00643065" w:rsidRDefault="00EA00D9" w:rsidP="00FA7E4A">
            <w:pPr>
              <w:pStyle w:val="paragraph"/>
              <w:textAlignment w:val="baseline"/>
              <w:rPr>
                <w:rFonts w:ascii="Arial" w:eastAsia="Arial" w:hAnsi="Arial" w:cs="Arial"/>
              </w:rPr>
            </w:pPr>
            <w:r w:rsidRPr="00643065">
              <w:rPr>
                <w:rFonts w:ascii="Arial" w:eastAsia="Arial" w:hAnsi="Arial" w:cs="Arial"/>
              </w:rPr>
              <w:t>E3: Amount of green or blue space created or improved (m2)</w:t>
            </w:r>
          </w:p>
        </w:tc>
        <w:tc>
          <w:tcPr>
            <w:tcW w:w="1276" w:type="dxa"/>
            <w:noWrap/>
            <w:hideMark/>
          </w:tcPr>
          <w:p w14:paraId="39FF9BAC" w14:textId="77777777" w:rsidR="00EA00D9" w:rsidRPr="00643065" w:rsidRDefault="00EA00D9" w:rsidP="00C652FB">
            <w:pPr>
              <w:pStyle w:val="paragraph"/>
              <w:jc w:val="center"/>
              <w:textAlignment w:val="baseline"/>
              <w:rPr>
                <w:rFonts w:ascii="Arial" w:eastAsia="Arial" w:hAnsi="Arial" w:cs="Arial"/>
                <w:b/>
                <w:bCs/>
              </w:rPr>
            </w:pPr>
            <w:r w:rsidRPr="00643065">
              <w:rPr>
                <w:rFonts w:ascii="Arial" w:eastAsia="Arial" w:hAnsi="Arial" w:cs="Arial"/>
                <w:b/>
                <w:bCs/>
              </w:rPr>
              <w:t>100000</w:t>
            </w:r>
          </w:p>
        </w:tc>
      </w:tr>
      <w:tr w:rsidR="00EA00D9" w:rsidRPr="00643065" w14:paraId="59246819" w14:textId="77777777" w:rsidTr="132DE210">
        <w:trPr>
          <w:trHeight w:val="360"/>
        </w:trPr>
        <w:tc>
          <w:tcPr>
            <w:tcW w:w="2405" w:type="dxa"/>
            <w:vMerge/>
            <w:hideMark/>
          </w:tcPr>
          <w:p w14:paraId="146EFDF4" w14:textId="77777777" w:rsidR="00EA00D9" w:rsidRPr="00643065" w:rsidRDefault="00EA00D9" w:rsidP="00FA7E4A">
            <w:pPr>
              <w:pStyle w:val="paragraph"/>
              <w:textAlignment w:val="baseline"/>
              <w:rPr>
                <w:rFonts w:ascii="Arial" w:eastAsia="Arial" w:hAnsi="Arial" w:cs="Arial"/>
                <w:b/>
                <w:bCs/>
              </w:rPr>
            </w:pPr>
          </w:p>
        </w:tc>
        <w:tc>
          <w:tcPr>
            <w:tcW w:w="5528" w:type="dxa"/>
            <w:noWrap/>
            <w:hideMark/>
          </w:tcPr>
          <w:p w14:paraId="0BD71FBF" w14:textId="77777777" w:rsidR="00EA00D9" w:rsidRPr="00643065" w:rsidRDefault="00EA00D9" w:rsidP="00FA7E4A">
            <w:pPr>
              <w:pStyle w:val="paragraph"/>
              <w:textAlignment w:val="baseline"/>
              <w:rPr>
                <w:rFonts w:ascii="Arial" w:eastAsia="Arial" w:hAnsi="Arial" w:cs="Arial"/>
              </w:rPr>
            </w:pPr>
            <w:r w:rsidRPr="00643065">
              <w:rPr>
                <w:rFonts w:ascii="Arial" w:eastAsia="Arial" w:hAnsi="Arial" w:cs="Arial"/>
              </w:rPr>
              <w:t>E3: Number of trees planted (numerical value)</w:t>
            </w:r>
          </w:p>
        </w:tc>
        <w:tc>
          <w:tcPr>
            <w:tcW w:w="1276" w:type="dxa"/>
            <w:noWrap/>
            <w:hideMark/>
          </w:tcPr>
          <w:p w14:paraId="56E98F1E" w14:textId="77777777" w:rsidR="00EA00D9" w:rsidRPr="00643065" w:rsidRDefault="00EA00D9" w:rsidP="00C652FB">
            <w:pPr>
              <w:pStyle w:val="paragraph"/>
              <w:jc w:val="center"/>
              <w:textAlignment w:val="baseline"/>
              <w:rPr>
                <w:rFonts w:ascii="Arial" w:eastAsia="Arial" w:hAnsi="Arial" w:cs="Arial"/>
                <w:b/>
                <w:bCs/>
              </w:rPr>
            </w:pPr>
            <w:r w:rsidRPr="00643065">
              <w:rPr>
                <w:rFonts w:ascii="Arial" w:eastAsia="Arial" w:hAnsi="Arial" w:cs="Arial"/>
                <w:b/>
                <w:bCs/>
              </w:rPr>
              <w:t>1000</w:t>
            </w:r>
          </w:p>
        </w:tc>
      </w:tr>
      <w:tr w:rsidR="00A05431" w:rsidRPr="00643065" w14:paraId="2FDADDFE" w14:textId="77777777" w:rsidTr="132DE210">
        <w:trPr>
          <w:trHeight w:val="210"/>
        </w:trPr>
        <w:tc>
          <w:tcPr>
            <w:tcW w:w="2405" w:type="dxa"/>
            <w:hideMark/>
          </w:tcPr>
          <w:p w14:paraId="3DA63BF8" w14:textId="4E2C250D" w:rsidR="00A05431" w:rsidRPr="00643065" w:rsidRDefault="00A05431" w:rsidP="00A05431">
            <w:pPr>
              <w:pStyle w:val="paragraph"/>
              <w:textAlignment w:val="baseline"/>
              <w:rPr>
                <w:rFonts w:ascii="Arial" w:eastAsia="Arial" w:hAnsi="Arial" w:cs="Arial"/>
              </w:rPr>
            </w:pPr>
            <w:r w:rsidRPr="00643065">
              <w:rPr>
                <w:rFonts w:ascii="Arial" w:eastAsia="Arial" w:hAnsi="Arial" w:cs="Arial"/>
                <w:b/>
                <w:bCs/>
              </w:rPr>
              <w:t>Harrow Cultural Assets (Archive &amp; Gallery)</w:t>
            </w:r>
          </w:p>
        </w:tc>
        <w:tc>
          <w:tcPr>
            <w:tcW w:w="5528" w:type="dxa"/>
            <w:noWrap/>
            <w:hideMark/>
          </w:tcPr>
          <w:p w14:paraId="0DC1996F" w14:textId="75FD2F6B" w:rsidR="00A05431" w:rsidRPr="00643065" w:rsidRDefault="00A05431" w:rsidP="00A05431">
            <w:pPr>
              <w:pStyle w:val="paragraph"/>
              <w:textAlignment w:val="baseline"/>
              <w:rPr>
                <w:rFonts w:ascii="Arial" w:eastAsia="Arial" w:hAnsi="Arial" w:cs="Arial"/>
              </w:rPr>
            </w:pPr>
            <w:r w:rsidRPr="00643065">
              <w:rPr>
                <w:rFonts w:ascii="Arial" w:eastAsia="Arial" w:hAnsi="Arial" w:cs="Arial"/>
              </w:rPr>
              <w:t>E4: Number of Tourism, Culture or heritage assets created or improved (numerical value)</w:t>
            </w:r>
          </w:p>
        </w:tc>
        <w:tc>
          <w:tcPr>
            <w:tcW w:w="1276" w:type="dxa"/>
            <w:noWrap/>
            <w:hideMark/>
          </w:tcPr>
          <w:p w14:paraId="5727E075" w14:textId="658B69EB" w:rsidR="00A05431" w:rsidRPr="00643065" w:rsidRDefault="00A05431" w:rsidP="00C652FB">
            <w:pPr>
              <w:pStyle w:val="paragraph"/>
              <w:jc w:val="center"/>
              <w:textAlignment w:val="baseline"/>
              <w:rPr>
                <w:rFonts w:ascii="Arial" w:eastAsia="Arial" w:hAnsi="Arial" w:cs="Arial"/>
                <w:b/>
                <w:bCs/>
              </w:rPr>
            </w:pPr>
            <w:r w:rsidRPr="00643065">
              <w:rPr>
                <w:rFonts w:ascii="Arial" w:eastAsia="Arial" w:hAnsi="Arial" w:cs="Arial"/>
                <w:b/>
                <w:bCs/>
              </w:rPr>
              <w:t>1</w:t>
            </w:r>
          </w:p>
        </w:tc>
      </w:tr>
      <w:tr w:rsidR="00A05431" w:rsidRPr="00643065" w14:paraId="6B988C63" w14:textId="77777777" w:rsidTr="132DE210">
        <w:trPr>
          <w:trHeight w:val="360"/>
        </w:trPr>
        <w:tc>
          <w:tcPr>
            <w:tcW w:w="2405" w:type="dxa"/>
            <w:hideMark/>
          </w:tcPr>
          <w:p w14:paraId="623A6133" w14:textId="548BB139" w:rsidR="00A05431" w:rsidRPr="00643065" w:rsidRDefault="004C6978" w:rsidP="00A05431">
            <w:pPr>
              <w:pStyle w:val="paragraph"/>
              <w:textAlignment w:val="baseline"/>
              <w:rPr>
                <w:rFonts w:ascii="Arial" w:eastAsia="Arial" w:hAnsi="Arial" w:cs="Arial"/>
                <w:b/>
                <w:bCs/>
              </w:rPr>
            </w:pPr>
            <w:r w:rsidRPr="00643065">
              <w:rPr>
                <w:rFonts w:ascii="Arial" w:eastAsia="Arial" w:hAnsi="Arial" w:cs="Arial"/>
                <w:b/>
                <w:bCs/>
              </w:rPr>
              <w:t>Support for voluntary sector</w:t>
            </w:r>
          </w:p>
        </w:tc>
        <w:tc>
          <w:tcPr>
            <w:tcW w:w="5528" w:type="dxa"/>
            <w:noWrap/>
            <w:hideMark/>
          </w:tcPr>
          <w:p w14:paraId="1A19C0AB" w14:textId="77777777" w:rsidR="00A05431" w:rsidRPr="00643065" w:rsidRDefault="00A05431" w:rsidP="00A05431">
            <w:pPr>
              <w:pStyle w:val="paragraph"/>
              <w:textAlignment w:val="baseline"/>
              <w:rPr>
                <w:rFonts w:ascii="Arial" w:eastAsia="Arial" w:hAnsi="Arial" w:cs="Arial"/>
              </w:rPr>
            </w:pPr>
            <w:r w:rsidRPr="00643065">
              <w:rPr>
                <w:rFonts w:ascii="Arial" w:eastAsia="Arial" w:hAnsi="Arial" w:cs="Arial"/>
              </w:rPr>
              <w:t>E9: Number of volunteering opportunities supported (numerical value)</w:t>
            </w:r>
          </w:p>
        </w:tc>
        <w:tc>
          <w:tcPr>
            <w:tcW w:w="1276" w:type="dxa"/>
            <w:noWrap/>
            <w:hideMark/>
          </w:tcPr>
          <w:p w14:paraId="69012295" w14:textId="77777777" w:rsidR="00A05431" w:rsidRPr="00643065" w:rsidRDefault="00A05431" w:rsidP="00C652FB">
            <w:pPr>
              <w:pStyle w:val="paragraph"/>
              <w:jc w:val="center"/>
              <w:textAlignment w:val="baseline"/>
              <w:rPr>
                <w:rFonts w:ascii="Arial" w:eastAsia="Arial" w:hAnsi="Arial" w:cs="Arial"/>
                <w:b/>
                <w:bCs/>
              </w:rPr>
            </w:pPr>
            <w:r w:rsidRPr="00643065">
              <w:rPr>
                <w:rFonts w:ascii="Arial" w:eastAsia="Arial" w:hAnsi="Arial" w:cs="Arial"/>
                <w:b/>
                <w:bCs/>
              </w:rPr>
              <w:t>1450</w:t>
            </w:r>
          </w:p>
        </w:tc>
      </w:tr>
      <w:tr w:rsidR="00A05431" w:rsidRPr="00643065" w14:paraId="74B0F877" w14:textId="77777777" w:rsidTr="132DE210">
        <w:trPr>
          <w:trHeight w:val="360"/>
        </w:trPr>
        <w:tc>
          <w:tcPr>
            <w:tcW w:w="2405" w:type="dxa"/>
            <w:vMerge w:val="restart"/>
            <w:hideMark/>
          </w:tcPr>
          <w:p w14:paraId="6D2F36A4" w14:textId="48567961" w:rsidR="00A05431" w:rsidRPr="00643065" w:rsidRDefault="004C6978" w:rsidP="00A05431">
            <w:pPr>
              <w:pStyle w:val="paragraph"/>
              <w:textAlignment w:val="baseline"/>
              <w:rPr>
                <w:rFonts w:ascii="Arial" w:eastAsia="Arial" w:hAnsi="Arial" w:cs="Arial"/>
                <w:b/>
                <w:bCs/>
              </w:rPr>
            </w:pPr>
            <w:r w:rsidRPr="00643065">
              <w:rPr>
                <w:rFonts w:ascii="Arial" w:eastAsia="Arial" w:hAnsi="Arial" w:cs="Arial"/>
                <w:b/>
                <w:bCs/>
              </w:rPr>
              <w:t>Energy advice &amp; cost of living project</w:t>
            </w:r>
          </w:p>
        </w:tc>
        <w:tc>
          <w:tcPr>
            <w:tcW w:w="5528" w:type="dxa"/>
            <w:noWrap/>
            <w:hideMark/>
          </w:tcPr>
          <w:p w14:paraId="665CA7D3" w14:textId="77777777" w:rsidR="00A05431" w:rsidRPr="00643065" w:rsidRDefault="00A05431" w:rsidP="00A05431">
            <w:pPr>
              <w:pStyle w:val="paragraph"/>
              <w:textAlignment w:val="baseline"/>
              <w:rPr>
                <w:rFonts w:ascii="Arial" w:eastAsia="Arial" w:hAnsi="Arial" w:cs="Arial"/>
              </w:rPr>
            </w:pPr>
            <w:r w:rsidRPr="00643065">
              <w:rPr>
                <w:rFonts w:ascii="Arial" w:eastAsia="Arial" w:hAnsi="Arial" w:cs="Arial"/>
              </w:rPr>
              <w:t>E13: Number of organisations receiving non-financial support (numerical value)</w:t>
            </w:r>
          </w:p>
        </w:tc>
        <w:tc>
          <w:tcPr>
            <w:tcW w:w="1276" w:type="dxa"/>
            <w:noWrap/>
            <w:hideMark/>
          </w:tcPr>
          <w:p w14:paraId="0B9F2DE9" w14:textId="77777777" w:rsidR="00A05431" w:rsidRPr="00643065" w:rsidRDefault="00A05431" w:rsidP="00C652FB">
            <w:pPr>
              <w:pStyle w:val="paragraph"/>
              <w:jc w:val="center"/>
              <w:textAlignment w:val="baseline"/>
              <w:rPr>
                <w:rFonts w:ascii="Arial" w:eastAsia="Arial" w:hAnsi="Arial" w:cs="Arial"/>
                <w:b/>
                <w:bCs/>
              </w:rPr>
            </w:pPr>
            <w:r w:rsidRPr="00643065">
              <w:rPr>
                <w:rFonts w:ascii="Arial" w:eastAsia="Arial" w:hAnsi="Arial" w:cs="Arial"/>
                <w:b/>
                <w:bCs/>
              </w:rPr>
              <w:t>60</w:t>
            </w:r>
          </w:p>
        </w:tc>
      </w:tr>
      <w:tr w:rsidR="00A05431" w:rsidRPr="00643065" w14:paraId="47EE3505" w14:textId="77777777" w:rsidTr="132DE210">
        <w:trPr>
          <w:trHeight w:val="360"/>
        </w:trPr>
        <w:tc>
          <w:tcPr>
            <w:tcW w:w="2405" w:type="dxa"/>
            <w:vMerge/>
            <w:hideMark/>
          </w:tcPr>
          <w:p w14:paraId="4438EF9B" w14:textId="77777777" w:rsidR="00A05431" w:rsidRPr="00643065" w:rsidRDefault="00A05431" w:rsidP="00A05431">
            <w:pPr>
              <w:pStyle w:val="paragraph"/>
              <w:textAlignment w:val="baseline"/>
              <w:rPr>
                <w:rFonts w:ascii="Arial" w:eastAsia="Arial" w:hAnsi="Arial" w:cs="Arial"/>
                <w:b/>
                <w:bCs/>
              </w:rPr>
            </w:pPr>
          </w:p>
        </w:tc>
        <w:tc>
          <w:tcPr>
            <w:tcW w:w="5528" w:type="dxa"/>
            <w:noWrap/>
            <w:hideMark/>
          </w:tcPr>
          <w:p w14:paraId="3C9CEADB" w14:textId="77777777" w:rsidR="00A05431" w:rsidRPr="00643065" w:rsidRDefault="00A05431" w:rsidP="00A05431">
            <w:pPr>
              <w:pStyle w:val="paragraph"/>
              <w:textAlignment w:val="baseline"/>
              <w:rPr>
                <w:rFonts w:ascii="Arial" w:eastAsia="Arial" w:hAnsi="Arial" w:cs="Arial"/>
              </w:rPr>
            </w:pPr>
            <w:r w:rsidRPr="00643065">
              <w:rPr>
                <w:rFonts w:ascii="Arial" w:eastAsia="Arial" w:hAnsi="Arial" w:cs="Arial"/>
              </w:rPr>
              <w:t>E13: Number of households receiving support (numerical value)</w:t>
            </w:r>
          </w:p>
        </w:tc>
        <w:tc>
          <w:tcPr>
            <w:tcW w:w="1276" w:type="dxa"/>
            <w:noWrap/>
            <w:hideMark/>
          </w:tcPr>
          <w:p w14:paraId="6AEAACA5" w14:textId="77777777" w:rsidR="00A05431" w:rsidRPr="00643065" w:rsidRDefault="00A05431" w:rsidP="00C652FB">
            <w:pPr>
              <w:pStyle w:val="paragraph"/>
              <w:jc w:val="center"/>
              <w:textAlignment w:val="baseline"/>
              <w:rPr>
                <w:rFonts w:ascii="Arial" w:eastAsia="Arial" w:hAnsi="Arial" w:cs="Arial"/>
                <w:b/>
                <w:bCs/>
              </w:rPr>
            </w:pPr>
            <w:r w:rsidRPr="00643065">
              <w:rPr>
                <w:rFonts w:ascii="Arial" w:eastAsia="Arial" w:hAnsi="Arial" w:cs="Arial"/>
                <w:b/>
                <w:bCs/>
              </w:rPr>
              <w:t>800</w:t>
            </w:r>
          </w:p>
        </w:tc>
      </w:tr>
    </w:tbl>
    <w:p w14:paraId="2103E714" w14:textId="77777777" w:rsidR="00B65B60" w:rsidRDefault="00B65B60" w:rsidP="00338FA4">
      <w:pPr>
        <w:pStyle w:val="paragraph"/>
        <w:spacing w:before="0" w:beforeAutospacing="0" w:after="0" w:afterAutospacing="0"/>
        <w:textAlignment w:val="baseline"/>
        <w:rPr>
          <w:rFonts w:ascii="Arial" w:eastAsia="Arial" w:hAnsi="Arial" w:cs="Arial"/>
        </w:rPr>
      </w:pPr>
    </w:p>
    <w:tbl>
      <w:tblPr>
        <w:tblStyle w:val="TableGrid"/>
        <w:tblW w:w="9209" w:type="dxa"/>
        <w:tblLook w:val="04A0" w:firstRow="1" w:lastRow="0" w:firstColumn="1" w:lastColumn="0" w:noHBand="0" w:noVBand="1"/>
      </w:tblPr>
      <w:tblGrid>
        <w:gridCol w:w="2405"/>
        <w:gridCol w:w="5494"/>
        <w:gridCol w:w="1310"/>
      </w:tblGrid>
      <w:tr w:rsidR="004C6978" w:rsidRPr="004C6978" w14:paraId="3915CE04" w14:textId="77777777" w:rsidTr="0010354B">
        <w:trPr>
          <w:trHeight w:val="360"/>
        </w:trPr>
        <w:tc>
          <w:tcPr>
            <w:tcW w:w="2405" w:type="dxa"/>
            <w:shd w:val="clear" w:color="auto" w:fill="D9D9D9" w:themeFill="background1" w:themeFillShade="D9"/>
          </w:tcPr>
          <w:p w14:paraId="7A211AC4" w14:textId="2F3CB319" w:rsidR="004C6978" w:rsidRPr="004C6978" w:rsidRDefault="004C6978" w:rsidP="007E389B">
            <w:pPr>
              <w:pStyle w:val="paragraph"/>
              <w:textAlignment w:val="baseline"/>
              <w:rPr>
                <w:rFonts w:ascii="Arial" w:eastAsia="Arial" w:hAnsi="Arial" w:cs="Arial"/>
                <w:b/>
                <w:bCs/>
              </w:rPr>
            </w:pPr>
            <w:r>
              <w:rPr>
                <w:rFonts w:ascii="Arial" w:eastAsia="Arial" w:hAnsi="Arial" w:cs="Arial"/>
                <w:b/>
                <w:bCs/>
              </w:rPr>
              <w:t>Outcomes</w:t>
            </w:r>
          </w:p>
        </w:tc>
        <w:tc>
          <w:tcPr>
            <w:tcW w:w="5494" w:type="dxa"/>
            <w:shd w:val="clear" w:color="auto" w:fill="D9D9D9" w:themeFill="background1" w:themeFillShade="D9"/>
            <w:vAlign w:val="center"/>
          </w:tcPr>
          <w:p w14:paraId="630CBC6C" w14:textId="77777777" w:rsidR="004C6978" w:rsidRPr="004C6978" w:rsidRDefault="004C6978" w:rsidP="007E389B">
            <w:pPr>
              <w:pStyle w:val="paragraph"/>
              <w:textAlignment w:val="baseline"/>
              <w:rPr>
                <w:rFonts w:ascii="Arial" w:hAnsi="Arial" w:cs="Arial"/>
              </w:rPr>
            </w:pPr>
          </w:p>
        </w:tc>
        <w:tc>
          <w:tcPr>
            <w:tcW w:w="1310" w:type="dxa"/>
            <w:shd w:val="clear" w:color="auto" w:fill="D9D9D9" w:themeFill="background1" w:themeFillShade="D9"/>
            <w:vAlign w:val="center"/>
          </w:tcPr>
          <w:p w14:paraId="7AA578BC" w14:textId="77777777" w:rsidR="004C6978" w:rsidRPr="004C6978" w:rsidRDefault="004C6978" w:rsidP="007E389B">
            <w:pPr>
              <w:pStyle w:val="paragraph"/>
              <w:textAlignment w:val="baseline"/>
              <w:rPr>
                <w:rFonts w:ascii="Arial" w:eastAsia="Arial" w:hAnsi="Arial" w:cs="Arial"/>
                <w:b/>
                <w:bCs/>
              </w:rPr>
            </w:pPr>
          </w:p>
        </w:tc>
      </w:tr>
      <w:tr w:rsidR="004C6978" w:rsidRPr="004C6978" w14:paraId="46B8E0C6" w14:textId="0DDB7957" w:rsidTr="0010354B">
        <w:trPr>
          <w:trHeight w:val="360"/>
        </w:trPr>
        <w:tc>
          <w:tcPr>
            <w:tcW w:w="2405" w:type="dxa"/>
            <w:hideMark/>
          </w:tcPr>
          <w:p w14:paraId="73956E64" w14:textId="77777777" w:rsidR="007E389B" w:rsidRPr="004C6978" w:rsidRDefault="007E389B" w:rsidP="007E389B">
            <w:pPr>
              <w:pStyle w:val="paragraph"/>
              <w:textAlignment w:val="baseline"/>
              <w:rPr>
                <w:rFonts w:ascii="Arial" w:eastAsia="Arial" w:hAnsi="Arial" w:cs="Arial"/>
                <w:b/>
                <w:bCs/>
              </w:rPr>
            </w:pPr>
            <w:r w:rsidRPr="004C6978">
              <w:rPr>
                <w:rFonts w:ascii="Arial" w:eastAsia="Arial" w:hAnsi="Arial" w:cs="Arial"/>
                <w:b/>
                <w:bCs/>
              </w:rPr>
              <w:t>Harrow High Street Fund</w:t>
            </w:r>
          </w:p>
        </w:tc>
        <w:tc>
          <w:tcPr>
            <w:tcW w:w="5494" w:type="dxa"/>
            <w:shd w:val="clear" w:color="auto" w:fill="FFFFFF" w:themeFill="background1"/>
            <w:vAlign w:val="center"/>
          </w:tcPr>
          <w:p w14:paraId="79DA1D47" w14:textId="2E4FF66E" w:rsidR="007E389B" w:rsidRPr="004C6978" w:rsidRDefault="007E389B" w:rsidP="007E389B">
            <w:pPr>
              <w:pStyle w:val="paragraph"/>
              <w:textAlignment w:val="baseline"/>
              <w:rPr>
                <w:rFonts w:ascii="Arial" w:eastAsia="Arial" w:hAnsi="Arial" w:cs="Arial"/>
                <w:b/>
                <w:bCs/>
              </w:rPr>
            </w:pPr>
            <w:r w:rsidRPr="004C6978">
              <w:rPr>
                <w:rFonts w:ascii="Arial" w:hAnsi="Arial" w:cs="Arial"/>
              </w:rPr>
              <w:t xml:space="preserve">E1: Jobs </w:t>
            </w:r>
            <w:r w:rsidR="5B8B2224" w:rsidRPr="4366CD4C">
              <w:rPr>
                <w:rFonts w:ascii="Arial" w:hAnsi="Arial" w:cs="Arial"/>
              </w:rPr>
              <w:t>created</w:t>
            </w:r>
            <w:r w:rsidRPr="004C6978">
              <w:rPr>
                <w:rFonts w:ascii="Arial" w:hAnsi="Arial" w:cs="Arial"/>
              </w:rPr>
              <w:t xml:space="preserve"> (numerical value)</w:t>
            </w:r>
          </w:p>
        </w:tc>
        <w:tc>
          <w:tcPr>
            <w:tcW w:w="1310" w:type="dxa"/>
            <w:shd w:val="clear" w:color="auto" w:fill="FFFFFF" w:themeFill="background1"/>
            <w:vAlign w:val="center"/>
          </w:tcPr>
          <w:p w14:paraId="37CAB0BC" w14:textId="63D84CB7" w:rsidR="007E389B" w:rsidRPr="004C6978" w:rsidRDefault="001D106E" w:rsidP="00C652FB">
            <w:pPr>
              <w:pStyle w:val="paragraph"/>
              <w:jc w:val="center"/>
              <w:textAlignment w:val="baseline"/>
              <w:rPr>
                <w:rFonts w:ascii="Arial" w:eastAsia="Arial" w:hAnsi="Arial" w:cs="Arial"/>
                <w:b/>
                <w:bCs/>
              </w:rPr>
            </w:pPr>
            <w:r w:rsidRPr="004C6978">
              <w:rPr>
                <w:rFonts w:ascii="Arial" w:eastAsia="Arial" w:hAnsi="Arial" w:cs="Arial"/>
                <w:b/>
                <w:bCs/>
              </w:rPr>
              <w:t>92</w:t>
            </w:r>
          </w:p>
        </w:tc>
      </w:tr>
      <w:tr w:rsidR="4366CD4C" w14:paraId="11C5ABF0" w14:textId="77777777" w:rsidTr="4366CD4C">
        <w:trPr>
          <w:trHeight w:val="360"/>
        </w:trPr>
        <w:tc>
          <w:tcPr>
            <w:tcW w:w="2405" w:type="dxa"/>
            <w:hideMark/>
          </w:tcPr>
          <w:p w14:paraId="25E328B4" w14:textId="3A0E1F1C" w:rsidR="4366CD4C" w:rsidRDefault="4366CD4C" w:rsidP="0056746A">
            <w:pPr>
              <w:pStyle w:val="paragraph"/>
              <w:rPr>
                <w:rFonts w:eastAsia="Arial" w:cs="Arial"/>
                <w:b/>
                <w:bCs/>
              </w:rPr>
            </w:pPr>
          </w:p>
        </w:tc>
        <w:tc>
          <w:tcPr>
            <w:tcW w:w="5494" w:type="dxa"/>
            <w:shd w:val="clear" w:color="auto" w:fill="FFFFFF" w:themeFill="background1"/>
            <w:vAlign w:val="center"/>
          </w:tcPr>
          <w:p w14:paraId="06B8A8E7" w14:textId="6D428F64" w:rsidR="6196C944" w:rsidRDefault="6196C944" w:rsidP="0056746A">
            <w:pPr>
              <w:pStyle w:val="paragraph"/>
              <w:rPr>
                <w:rFonts w:cs="Arial"/>
              </w:rPr>
            </w:pPr>
            <w:r w:rsidRPr="4366CD4C">
              <w:rPr>
                <w:rFonts w:ascii="Arial" w:hAnsi="Arial" w:cs="Arial"/>
              </w:rPr>
              <w:t>E1 Jobs safeguarded (numerical value)</w:t>
            </w:r>
          </w:p>
        </w:tc>
        <w:tc>
          <w:tcPr>
            <w:tcW w:w="1310" w:type="dxa"/>
            <w:shd w:val="clear" w:color="auto" w:fill="FFFFFF" w:themeFill="background1"/>
            <w:vAlign w:val="center"/>
          </w:tcPr>
          <w:p w14:paraId="551DCF50" w14:textId="1476B230" w:rsidR="6196C944" w:rsidRDefault="6196C944" w:rsidP="0056746A">
            <w:pPr>
              <w:pStyle w:val="paragraph"/>
              <w:jc w:val="center"/>
              <w:rPr>
                <w:rFonts w:eastAsia="Arial" w:cs="Arial"/>
                <w:b/>
                <w:bCs/>
              </w:rPr>
            </w:pPr>
            <w:r w:rsidRPr="4366CD4C">
              <w:rPr>
                <w:rFonts w:ascii="Arial" w:eastAsia="Arial" w:hAnsi="Arial" w:cs="Arial"/>
                <w:b/>
                <w:bCs/>
              </w:rPr>
              <w:t>1</w:t>
            </w:r>
          </w:p>
        </w:tc>
      </w:tr>
      <w:tr w:rsidR="004C6978" w:rsidRPr="004C6978" w14:paraId="1B529854" w14:textId="77777777" w:rsidTr="0010354B">
        <w:trPr>
          <w:trHeight w:val="360"/>
        </w:trPr>
        <w:tc>
          <w:tcPr>
            <w:tcW w:w="2405" w:type="dxa"/>
          </w:tcPr>
          <w:p w14:paraId="4C26FEBF" w14:textId="77777777" w:rsidR="00F06774" w:rsidRPr="004C6978" w:rsidRDefault="00F06774" w:rsidP="007E389B">
            <w:pPr>
              <w:pStyle w:val="paragraph"/>
              <w:textAlignment w:val="baseline"/>
              <w:rPr>
                <w:rFonts w:ascii="Arial" w:eastAsia="Arial" w:hAnsi="Arial" w:cs="Arial"/>
                <w:b/>
                <w:bCs/>
              </w:rPr>
            </w:pPr>
          </w:p>
        </w:tc>
        <w:tc>
          <w:tcPr>
            <w:tcW w:w="5494" w:type="dxa"/>
            <w:shd w:val="clear" w:color="auto" w:fill="FFFFFF" w:themeFill="background1"/>
            <w:vAlign w:val="center"/>
          </w:tcPr>
          <w:p w14:paraId="40808481" w14:textId="77777777" w:rsidR="00F06774" w:rsidRPr="004C6978" w:rsidRDefault="00F06774" w:rsidP="00F06774">
            <w:pPr>
              <w:rPr>
                <w:rFonts w:cs="Arial"/>
                <w:szCs w:val="24"/>
                <w:lang w:eastAsia="en-GB"/>
              </w:rPr>
            </w:pPr>
            <w:r w:rsidRPr="004C6978">
              <w:rPr>
                <w:rFonts w:cs="Arial"/>
                <w:szCs w:val="24"/>
                <w:lang w:eastAsia="en-GB"/>
              </w:rPr>
              <w:t xml:space="preserve">Reduced vacancy rates (% decreased). </w:t>
            </w:r>
          </w:p>
          <w:p w14:paraId="0F07C992" w14:textId="6621F9FE" w:rsidR="00F06774" w:rsidRPr="004C6978" w:rsidRDefault="00F06774" w:rsidP="00F06774">
            <w:pPr>
              <w:rPr>
                <w:rFonts w:cs="Arial"/>
                <w:szCs w:val="24"/>
                <w:lang w:eastAsia="en-GB"/>
              </w:rPr>
            </w:pPr>
            <w:r w:rsidRPr="004C6978">
              <w:rPr>
                <w:rFonts w:cs="Arial"/>
                <w:szCs w:val="24"/>
                <w:lang w:eastAsia="en-GB"/>
              </w:rPr>
              <w:t>The baseline is 4.57% in 2021-22 and our target is a reduction by 0.57% to 4% by 2024-25. This equates to a 12.4% overall improvement in our vacancy rates.</w:t>
            </w:r>
          </w:p>
        </w:tc>
        <w:tc>
          <w:tcPr>
            <w:tcW w:w="1310" w:type="dxa"/>
            <w:shd w:val="clear" w:color="auto" w:fill="FFFFFF" w:themeFill="background1"/>
            <w:vAlign w:val="center"/>
          </w:tcPr>
          <w:p w14:paraId="38CC93E5" w14:textId="4E76D3D4" w:rsidR="00F06774" w:rsidRPr="004C6978" w:rsidRDefault="00AF66DA" w:rsidP="00C652FB">
            <w:pPr>
              <w:pStyle w:val="paragraph"/>
              <w:jc w:val="center"/>
              <w:textAlignment w:val="baseline"/>
              <w:rPr>
                <w:rFonts w:ascii="Arial" w:eastAsia="Arial" w:hAnsi="Arial" w:cs="Arial"/>
                <w:b/>
                <w:bCs/>
              </w:rPr>
            </w:pPr>
            <w:r w:rsidRPr="004C6978">
              <w:rPr>
                <w:rFonts w:ascii="Arial" w:eastAsia="Arial" w:hAnsi="Arial" w:cs="Arial"/>
                <w:b/>
                <w:bCs/>
              </w:rPr>
              <w:t>12.4% reduction</w:t>
            </w:r>
          </w:p>
        </w:tc>
      </w:tr>
      <w:tr w:rsidR="004C6978" w:rsidRPr="004C6978" w14:paraId="156F8998" w14:textId="08D410A6" w:rsidTr="0010354B">
        <w:trPr>
          <w:trHeight w:val="360"/>
        </w:trPr>
        <w:tc>
          <w:tcPr>
            <w:tcW w:w="2405" w:type="dxa"/>
            <w:vMerge w:val="restart"/>
            <w:hideMark/>
          </w:tcPr>
          <w:p w14:paraId="6941D546" w14:textId="77777777" w:rsidR="007E389B" w:rsidRPr="004C6978" w:rsidRDefault="007E389B" w:rsidP="007E389B">
            <w:pPr>
              <w:pStyle w:val="paragraph"/>
              <w:textAlignment w:val="baseline"/>
              <w:rPr>
                <w:rFonts w:ascii="Arial" w:eastAsia="Arial" w:hAnsi="Arial" w:cs="Arial"/>
                <w:b/>
                <w:bCs/>
              </w:rPr>
            </w:pPr>
            <w:r w:rsidRPr="004C6978">
              <w:rPr>
                <w:rFonts w:ascii="Arial" w:eastAsia="Arial" w:hAnsi="Arial" w:cs="Arial"/>
                <w:b/>
                <w:bCs/>
              </w:rPr>
              <w:t>Harrow Arts Centre - Phase 2</w:t>
            </w:r>
          </w:p>
        </w:tc>
        <w:tc>
          <w:tcPr>
            <w:tcW w:w="5494" w:type="dxa"/>
            <w:shd w:val="clear" w:color="auto" w:fill="FFFFFF" w:themeFill="background1"/>
            <w:vAlign w:val="center"/>
          </w:tcPr>
          <w:p w14:paraId="0DEFAB6F" w14:textId="669DC588" w:rsidR="007E389B" w:rsidRPr="004C6978" w:rsidRDefault="007E389B" w:rsidP="007E389B">
            <w:pPr>
              <w:pStyle w:val="paragraph"/>
              <w:textAlignment w:val="baseline"/>
              <w:rPr>
                <w:rFonts w:ascii="Arial" w:eastAsia="Arial" w:hAnsi="Arial" w:cs="Arial"/>
                <w:b/>
                <w:bCs/>
              </w:rPr>
            </w:pPr>
            <w:r w:rsidRPr="004C6978">
              <w:rPr>
                <w:rFonts w:ascii="Arial" w:hAnsi="Arial" w:cs="Arial"/>
              </w:rPr>
              <w:t>E1: Jobs created (numerical value)</w:t>
            </w:r>
          </w:p>
        </w:tc>
        <w:tc>
          <w:tcPr>
            <w:tcW w:w="1310" w:type="dxa"/>
            <w:shd w:val="clear" w:color="auto" w:fill="FFFFFF" w:themeFill="background1"/>
            <w:vAlign w:val="center"/>
          </w:tcPr>
          <w:p w14:paraId="4A8F6009" w14:textId="4DAFDC6E" w:rsidR="007E389B" w:rsidRPr="004C6978" w:rsidRDefault="007E389B" w:rsidP="00C652FB">
            <w:pPr>
              <w:pStyle w:val="paragraph"/>
              <w:jc w:val="center"/>
              <w:textAlignment w:val="baseline"/>
              <w:rPr>
                <w:rFonts w:ascii="Arial" w:eastAsia="Arial" w:hAnsi="Arial" w:cs="Arial"/>
                <w:b/>
                <w:bCs/>
              </w:rPr>
            </w:pPr>
            <w:r w:rsidRPr="004C6978">
              <w:rPr>
                <w:rFonts w:ascii="Arial" w:hAnsi="Arial" w:cs="Arial"/>
                <w:b/>
                <w:bCs/>
              </w:rPr>
              <w:t>3</w:t>
            </w:r>
          </w:p>
        </w:tc>
      </w:tr>
      <w:tr w:rsidR="004C6978" w:rsidRPr="004C6978" w14:paraId="58741927" w14:textId="49DEC471" w:rsidTr="0010354B">
        <w:trPr>
          <w:trHeight w:val="360"/>
        </w:trPr>
        <w:tc>
          <w:tcPr>
            <w:tcW w:w="2405" w:type="dxa"/>
            <w:vMerge/>
            <w:hideMark/>
          </w:tcPr>
          <w:p w14:paraId="72FE367A" w14:textId="77777777" w:rsidR="007E389B" w:rsidRPr="004C6978" w:rsidRDefault="007E389B" w:rsidP="007E389B">
            <w:pPr>
              <w:pStyle w:val="paragraph"/>
              <w:textAlignment w:val="baseline"/>
              <w:rPr>
                <w:rFonts w:ascii="Arial" w:eastAsia="Arial" w:hAnsi="Arial" w:cs="Arial"/>
                <w:b/>
                <w:bCs/>
              </w:rPr>
            </w:pPr>
          </w:p>
        </w:tc>
        <w:tc>
          <w:tcPr>
            <w:tcW w:w="5494" w:type="dxa"/>
            <w:shd w:val="clear" w:color="auto" w:fill="FFFFFF" w:themeFill="background1"/>
            <w:vAlign w:val="center"/>
          </w:tcPr>
          <w:p w14:paraId="41268255" w14:textId="6EA8429F" w:rsidR="007E389B" w:rsidRPr="004C6978" w:rsidRDefault="007E389B" w:rsidP="007E389B">
            <w:pPr>
              <w:pStyle w:val="paragraph"/>
              <w:textAlignment w:val="baseline"/>
              <w:rPr>
                <w:rFonts w:ascii="Arial" w:eastAsia="Arial" w:hAnsi="Arial" w:cs="Arial"/>
                <w:b/>
                <w:bCs/>
              </w:rPr>
            </w:pPr>
            <w:r w:rsidRPr="004C6978">
              <w:rPr>
                <w:rFonts w:ascii="Arial" w:hAnsi="Arial" w:cs="Arial"/>
              </w:rPr>
              <w:t>E1: Jobs safeguarded (numerical value)</w:t>
            </w:r>
          </w:p>
        </w:tc>
        <w:tc>
          <w:tcPr>
            <w:tcW w:w="1310" w:type="dxa"/>
            <w:shd w:val="clear" w:color="auto" w:fill="FFFFFF" w:themeFill="background1"/>
            <w:vAlign w:val="center"/>
          </w:tcPr>
          <w:p w14:paraId="02230C67" w14:textId="700B9E13" w:rsidR="007E389B" w:rsidRPr="004C6978" w:rsidRDefault="007E389B" w:rsidP="00C652FB">
            <w:pPr>
              <w:pStyle w:val="paragraph"/>
              <w:jc w:val="center"/>
              <w:textAlignment w:val="baseline"/>
              <w:rPr>
                <w:rFonts w:ascii="Arial" w:eastAsia="Arial" w:hAnsi="Arial" w:cs="Arial"/>
                <w:b/>
                <w:bCs/>
              </w:rPr>
            </w:pPr>
            <w:r w:rsidRPr="004C6978">
              <w:rPr>
                <w:rFonts w:ascii="Arial" w:hAnsi="Arial" w:cs="Arial"/>
                <w:b/>
                <w:bCs/>
              </w:rPr>
              <w:t>1</w:t>
            </w:r>
            <w:r w:rsidR="001D106E" w:rsidRPr="004C6978">
              <w:rPr>
                <w:rFonts w:ascii="Arial" w:hAnsi="Arial" w:cs="Arial"/>
                <w:b/>
                <w:bCs/>
              </w:rPr>
              <w:t>0</w:t>
            </w:r>
          </w:p>
        </w:tc>
      </w:tr>
      <w:tr w:rsidR="004C6978" w:rsidRPr="004C6978" w14:paraId="7A2FCC18" w14:textId="50BE13FD" w:rsidTr="0010354B">
        <w:trPr>
          <w:trHeight w:val="360"/>
        </w:trPr>
        <w:tc>
          <w:tcPr>
            <w:tcW w:w="2405" w:type="dxa"/>
            <w:vMerge/>
            <w:hideMark/>
          </w:tcPr>
          <w:p w14:paraId="52DD869E" w14:textId="77777777" w:rsidR="007E389B" w:rsidRPr="004C6978" w:rsidRDefault="007E389B" w:rsidP="007E389B">
            <w:pPr>
              <w:pStyle w:val="paragraph"/>
              <w:textAlignment w:val="baseline"/>
              <w:rPr>
                <w:rFonts w:ascii="Arial" w:eastAsia="Arial" w:hAnsi="Arial" w:cs="Arial"/>
                <w:b/>
                <w:bCs/>
              </w:rPr>
            </w:pPr>
          </w:p>
        </w:tc>
        <w:tc>
          <w:tcPr>
            <w:tcW w:w="5494" w:type="dxa"/>
            <w:shd w:val="clear" w:color="auto" w:fill="FFFFFF" w:themeFill="background1"/>
            <w:vAlign w:val="center"/>
          </w:tcPr>
          <w:p w14:paraId="02F56987" w14:textId="3E9D69C6" w:rsidR="007E389B" w:rsidRPr="004C6978" w:rsidRDefault="007E389B" w:rsidP="007E389B">
            <w:pPr>
              <w:pStyle w:val="paragraph"/>
              <w:textAlignment w:val="baseline"/>
              <w:rPr>
                <w:rFonts w:ascii="Arial" w:eastAsia="Arial" w:hAnsi="Arial" w:cs="Arial"/>
                <w:b/>
                <w:bCs/>
              </w:rPr>
            </w:pPr>
            <w:r w:rsidRPr="004C6978">
              <w:rPr>
                <w:rFonts w:ascii="Arial" w:hAnsi="Arial" w:cs="Arial"/>
              </w:rPr>
              <w:t>E4: Improved perceived/experienced accessibility (numerical value)</w:t>
            </w:r>
          </w:p>
        </w:tc>
        <w:tc>
          <w:tcPr>
            <w:tcW w:w="1310" w:type="dxa"/>
            <w:shd w:val="clear" w:color="auto" w:fill="FFFFFF" w:themeFill="background1"/>
            <w:vAlign w:val="center"/>
          </w:tcPr>
          <w:p w14:paraId="2711AECC" w14:textId="4C097B4B" w:rsidR="007E389B" w:rsidRPr="004C6978" w:rsidRDefault="007E389B" w:rsidP="00C652FB">
            <w:pPr>
              <w:pStyle w:val="paragraph"/>
              <w:jc w:val="center"/>
              <w:textAlignment w:val="baseline"/>
              <w:rPr>
                <w:rFonts w:ascii="Arial" w:eastAsia="Arial" w:hAnsi="Arial" w:cs="Arial"/>
                <w:b/>
                <w:bCs/>
              </w:rPr>
            </w:pPr>
            <w:r w:rsidRPr="004C6978">
              <w:rPr>
                <w:rFonts w:ascii="Arial" w:hAnsi="Arial" w:cs="Arial"/>
                <w:b/>
                <w:bCs/>
              </w:rPr>
              <w:t>1</w:t>
            </w:r>
          </w:p>
        </w:tc>
      </w:tr>
      <w:tr w:rsidR="004C6978" w:rsidRPr="004C6978" w14:paraId="4D936398" w14:textId="77777777" w:rsidTr="0010354B">
        <w:trPr>
          <w:trHeight w:val="360"/>
        </w:trPr>
        <w:tc>
          <w:tcPr>
            <w:tcW w:w="2405" w:type="dxa"/>
          </w:tcPr>
          <w:p w14:paraId="595B0B80" w14:textId="77777777" w:rsidR="004978FF" w:rsidRPr="004C6978" w:rsidRDefault="004978FF" w:rsidP="007E389B">
            <w:pPr>
              <w:pStyle w:val="paragraph"/>
              <w:textAlignment w:val="baseline"/>
              <w:rPr>
                <w:rFonts w:ascii="Arial" w:eastAsia="Arial" w:hAnsi="Arial" w:cs="Arial"/>
                <w:b/>
                <w:bCs/>
              </w:rPr>
            </w:pPr>
          </w:p>
        </w:tc>
        <w:tc>
          <w:tcPr>
            <w:tcW w:w="5494" w:type="dxa"/>
            <w:shd w:val="clear" w:color="auto" w:fill="FFFFFF" w:themeFill="background1"/>
            <w:vAlign w:val="center"/>
          </w:tcPr>
          <w:p w14:paraId="14D50F49" w14:textId="0F4F1605" w:rsidR="004978FF" w:rsidRPr="004C6978" w:rsidRDefault="00F06774" w:rsidP="007E389B">
            <w:pPr>
              <w:pStyle w:val="paragraph"/>
              <w:textAlignment w:val="baseline"/>
              <w:rPr>
                <w:rFonts w:ascii="Arial" w:hAnsi="Arial" w:cs="Arial"/>
              </w:rPr>
            </w:pPr>
            <w:r w:rsidRPr="004C6978">
              <w:rPr>
                <w:rFonts w:ascii="Arial" w:hAnsi="Arial" w:cs="Arial"/>
              </w:rPr>
              <w:t>Increased visitor numbers (%). The baseline is 182,000 visitors in 2021-22 and our target is a 5% increase by 2024-25.</w:t>
            </w:r>
          </w:p>
        </w:tc>
        <w:tc>
          <w:tcPr>
            <w:tcW w:w="1310" w:type="dxa"/>
            <w:shd w:val="clear" w:color="auto" w:fill="FFFFFF" w:themeFill="background1"/>
            <w:vAlign w:val="center"/>
          </w:tcPr>
          <w:p w14:paraId="4CB81891" w14:textId="166A291E" w:rsidR="004978FF" w:rsidRPr="004C6978" w:rsidRDefault="00AF66DA" w:rsidP="00C652FB">
            <w:pPr>
              <w:pStyle w:val="paragraph"/>
              <w:jc w:val="center"/>
              <w:textAlignment w:val="baseline"/>
              <w:rPr>
                <w:rFonts w:ascii="Arial" w:hAnsi="Arial" w:cs="Arial"/>
                <w:b/>
                <w:bCs/>
              </w:rPr>
            </w:pPr>
            <w:r w:rsidRPr="004C6978">
              <w:rPr>
                <w:rFonts w:ascii="Arial" w:hAnsi="Arial" w:cs="Arial"/>
                <w:b/>
                <w:bCs/>
              </w:rPr>
              <w:t>5% increase</w:t>
            </w:r>
          </w:p>
        </w:tc>
      </w:tr>
      <w:tr w:rsidR="004C6978" w:rsidRPr="004C6978" w14:paraId="32F1474B" w14:textId="3419BE93" w:rsidTr="0010354B">
        <w:trPr>
          <w:trHeight w:val="360"/>
        </w:trPr>
        <w:tc>
          <w:tcPr>
            <w:tcW w:w="2405" w:type="dxa"/>
            <w:vMerge w:val="restart"/>
            <w:hideMark/>
          </w:tcPr>
          <w:p w14:paraId="340523A1" w14:textId="77777777" w:rsidR="00F767C4" w:rsidRPr="004C6978" w:rsidRDefault="00F767C4" w:rsidP="00F767C4">
            <w:pPr>
              <w:pStyle w:val="paragraph"/>
              <w:textAlignment w:val="baseline"/>
              <w:rPr>
                <w:rFonts w:ascii="Arial" w:eastAsia="Arial" w:hAnsi="Arial" w:cs="Arial"/>
                <w:b/>
                <w:bCs/>
              </w:rPr>
            </w:pPr>
            <w:r w:rsidRPr="004C6978">
              <w:rPr>
                <w:rFonts w:ascii="Arial" w:eastAsia="Arial" w:hAnsi="Arial" w:cs="Arial"/>
                <w:b/>
                <w:bCs/>
              </w:rPr>
              <w:t>Support to parks and open spaces</w:t>
            </w:r>
          </w:p>
        </w:tc>
        <w:tc>
          <w:tcPr>
            <w:tcW w:w="5494" w:type="dxa"/>
            <w:shd w:val="clear" w:color="auto" w:fill="FFFFFF" w:themeFill="background1"/>
            <w:vAlign w:val="center"/>
          </w:tcPr>
          <w:p w14:paraId="512B968F" w14:textId="0FB4CC61" w:rsidR="00F767C4" w:rsidRPr="004C6978" w:rsidRDefault="00F767C4" w:rsidP="00F767C4">
            <w:pPr>
              <w:pStyle w:val="paragraph"/>
              <w:textAlignment w:val="baseline"/>
              <w:rPr>
                <w:rFonts w:ascii="Arial" w:eastAsia="Arial" w:hAnsi="Arial" w:cs="Arial"/>
                <w:b/>
                <w:bCs/>
              </w:rPr>
            </w:pPr>
            <w:r w:rsidRPr="004C6978">
              <w:rPr>
                <w:rFonts w:ascii="Arial" w:hAnsi="Arial" w:cs="Arial"/>
              </w:rPr>
              <w:t>E3: Increased visitor numbers (numerical value)</w:t>
            </w:r>
          </w:p>
        </w:tc>
        <w:tc>
          <w:tcPr>
            <w:tcW w:w="1310" w:type="dxa"/>
            <w:shd w:val="clear" w:color="auto" w:fill="FFFFFF" w:themeFill="background1"/>
            <w:vAlign w:val="center"/>
          </w:tcPr>
          <w:p w14:paraId="5AB0ECF0" w14:textId="26116767" w:rsidR="00F767C4" w:rsidRPr="004C6978" w:rsidRDefault="00F767C4" w:rsidP="00C652FB">
            <w:pPr>
              <w:pStyle w:val="paragraph"/>
              <w:jc w:val="center"/>
              <w:textAlignment w:val="baseline"/>
              <w:rPr>
                <w:rFonts w:ascii="Arial" w:eastAsia="Arial" w:hAnsi="Arial" w:cs="Arial"/>
                <w:b/>
                <w:bCs/>
              </w:rPr>
            </w:pPr>
            <w:r w:rsidRPr="004C6978">
              <w:rPr>
                <w:rFonts w:ascii="Arial" w:hAnsi="Arial" w:cs="Arial"/>
                <w:b/>
                <w:bCs/>
              </w:rPr>
              <w:t>1350</w:t>
            </w:r>
          </w:p>
        </w:tc>
      </w:tr>
      <w:tr w:rsidR="004C6978" w:rsidRPr="004C6978" w14:paraId="173C189F" w14:textId="6A430D80" w:rsidTr="0010354B">
        <w:trPr>
          <w:trHeight w:val="360"/>
        </w:trPr>
        <w:tc>
          <w:tcPr>
            <w:tcW w:w="2405" w:type="dxa"/>
            <w:vMerge/>
            <w:hideMark/>
          </w:tcPr>
          <w:p w14:paraId="6D48E322" w14:textId="77777777" w:rsidR="00F767C4" w:rsidRPr="004C6978" w:rsidRDefault="00F767C4" w:rsidP="00F767C4">
            <w:pPr>
              <w:pStyle w:val="paragraph"/>
              <w:textAlignment w:val="baseline"/>
              <w:rPr>
                <w:rFonts w:ascii="Arial" w:eastAsia="Arial" w:hAnsi="Arial" w:cs="Arial"/>
                <w:b/>
                <w:bCs/>
              </w:rPr>
            </w:pPr>
          </w:p>
        </w:tc>
        <w:tc>
          <w:tcPr>
            <w:tcW w:w="5494" w:type="dxa"/>
            <w:shd w:val="clear" w:color="auto" w:fill="FFFFFF" w:themeFill="background1"/>
            <w:vAlign w:val="center"/>
          </w:tcPr>
          <w:p w14:paraId="28633A17" w14:textId="04B89CCF" w:rsidR="00F767C4" w:rsidRPr="004C6978" w:rsidRDefault="00F767C4" w:rsidP="00F767C4">
            <w:pPr>
              <w:pStyle w:val="paragraph"/>
              <w:textAlignment w:val="baseline"/>
              <w:rPr>
                <w:rFonts w:ascii="Arial" w:eastAsia="Arial" w:hAnsi="Arial" w:cs="Arial"/>
                <w:b/>
                <w:bCs/>
              </w:rPr>
            </w:pPr>
            <w:r w:rsidRPr="004C6978">
              <w:rPr>
                <w:rFonts w:ascii="Arial" w:hAnsi="Arial" w:cs="Arial"/>
              </w:rPr>
              <w:t>E3: Increased use of cycleways or paths (numerical value)</w:t>
            </w:r>
          </w:p>
        </w:tc>
        <w:tc>
          <w:tcPr>
            <w:tcW w:w="1310" w:type="dxa"/>
            <w:shd w:val="clear" w:color="auto" w:fill="FFFFFF" w:themeFill="background1"/>
            <w:vAlign w:val="center"/>
          </w:tcPr>
          <w:p w14:paraId="2969DC8A" w14:textId="39646221" w:rsidR="00F767C4" w:rsidRPr="004C6978" w:rsidRDefault="00F767C4" w:rsidP="00C652FB">
            <w:pPr>
              <w:pStyle w:val="paragraph"/>
              <w:jc w:val="center"/>
              <w:textAlignment w:val="baseline"/>
              <w:rPr>
                <w:rFonts w:ascii="Arial" w:eastAsia="Arial" w:hAnsi="Arial" w:cs="Arial"/>
                <w:b/>
                <w:bCs/>
              </w:rPr>
            </w:pPr>
            <w:r w:rsidRPr="004C6978">
              <w:rPr>
                <w:rFonts w:ascii="Arial" w:hAnsi="Arial" w:cs="Arial"/>
                <w:b/>
                <w:bCs/>
              </w:rPr>
              <w:t>700</w:t>
            </w:r>
          </w:p>
        </w:tc>
      </w:tr>
      <w:tr w:rsidR="004C6978" w:rsidRPr="004C6978" w14:paraId="266F2B38" w14:textId="06169D6D" w:rsidTr="0010354B">
        <w:trPr>
          <w:trHeight w:val="360"/>
        </w:trPr>
        <w:tc>
          <w:tcPr>
            <w:tcW w:w="2405" w:type="dxa"/>
            <w:hideMark/>
          </w:tcPr>
          <w:p w14:paraId="266169AF" w14:textId="77777777" w:rsidR="00675520" w:rsidRPr="004C6978" w:rsidRDefault="00675520" w:rsidP="00675520">
            <w:pPr>
              <w:pStyle w:val="paragraph"/>
              <w:textAlignment w:val="baseline"/>
              <w:rPr>
                <w:rFonts w:ascii="Arial" w:eastAsia="Arial" w:hAnsi="Arial" w:cs="Arial"/>
                <w:b/>
                <w:bCs/>
              </w:rPr>
            </w:pPr>
            <w:r w:rsidRPr="004C6978">
              <w:rPr>
                <w:rFonts w:ascii="Arial" w:eastAsia="Arial" w:hAnsi="Arial" w:cs="Arial"/>
                <w:b/>
                <w:bCs/>
              </w:rPr>
              <w:t>Harrow Cultural Assets (Archive &amp; Gallery)</w:t>
            </w:r>
          </w:p>
        </w:tc>
        <w:tc>
          <w:tcPr>
            <w:tcW w:w="5494" w:type="dxa"/>
            <w:shd w:val="clear" w:color="auto" w:fill="FFFFFF" w:themeFill="background1"/>
            <w:vAlign w:val="center"/>
          </w:tcPr>
          <w:p w14:paraId="7622545C" w14:textId="59124255" w:rsidR="00675520" w:rsidRPr="004C6978" w:rsidRDefault="00675520" w:rsidP="00675520">
            <w:pPr>
              <w:pStyle w:val="paragraph"/>
              <w:tabs>
                <w:tab w:val="left" w:pos="1520"/>
              </w:tabs>
              <w:textAlignment w:val="baseline"/>
              <w:rPr>
                <w:rFonts w:ascii="Arial" w:eastAsia="Arial" w:hAnsi="Arial" w:cs="Arial"/>
                <w:b/>
                <w:bCs/>
              </w:rPr>
            </w:pPr>
            <w:r w:rsidRPr="004C6978">
              <w:rPr>
                <w:rFonts w:ascii="Arial" w:hAnsi="Arial" w:cs="Arial"/>
              </w:rPr>
              <w:t>E4: Improved perceived/experienced accessibility (numerical value)</w:t>
            </w:r>
          </w:p>
        </w:tc>
        <w:tc>
          <w:tcPr>
            <w:tcW w:w="1310" w:type="dxa"/>
            <w:shd w:val="clear" w:color="auto" w:fill="FFFFFF" w:themeFill="background1"/>
            <w:vAlign w:val="center"/>
          </w:tcPr>
          <w:p w14:paraId="2CA201BE" w14:textId="2BB4EA72" w:rsidR="00675520" w:rsidRPr="004C6978" w:rsidRDefault="00675520" w:rsidP="00C652FB">
            <w:pPr>
              <w:pStyle w:val="paragraph"/>
              <w:jc w:val="center"/>
              <w:textAlignment w:val="baseline"/>
              <w:rPr>
                <w:rFonts w:ascii="Arial" w:eastAsia="Arial" w:hAnsi="Arial" w:cs="Arial"/>
                <w:b/>
                <w:bCs/>
              </w:rPr>
            </w:pPr>
            <w:r w:rsidRPr="004C6978">
              <w:rPr>
                <w:rFonts w:ascii="Arial" w:hAnsi="Arial" w:cs="Arial"/>
                <w:b/>
                <w:bCs/>
              </w:rPr>
              <w:t>1</w:t>
            </w:r>
          </w:p>
        </w:tc>
      </w:tr>
      <w:tr w:rsidR="004C6978" w:rsidRPr="004C6978" w14:paraId="3CCE3CFE" w14:textId="5C9BE913" w:rsidTr="0010354B">
        <w:trPr>
          <w:trHeight w:val="360"/>
        </w:trPr>
        <w:tc>
          <w:tcPr>
            <w:tcW w:w="2405" w:type="dxa"/>
            <w:hideMark/>
          </w:tcPr>
          <w:p w14:paraId="3316E787" w14:textId="77777777" w:rsidR="00675520" w:rsidRPr="004C6978" w:rsidRDefault="00675520" w:rsidP="00675520">
            <w:pPr>
              <w:pStyle w:val="paragraph"/>
              <w:textAlignment w:val="baseline"/>
              <w:rPr>
                <w:rFonts w:ascii="Arial" w:eastAsia="Arial" w:hAnsi="Arial" w:cs="Arial"/>
                <w:b/>
                <w:bCs/>
              </w:rPr>
            </w:pPr>
            <w:r w:rsidRPr="004C6978">
              <w:rPr>
                <w:rFonts w:ascii="Arial" w:eastAsia="Arial" w:hAnsi="Arial" w:cs="Arial"/>
                <w:b/>
                <w:bCs/>
              </w:rPr>
              <w:t>Support for voluntary sector</w:t>
            </w:r>
          </w:p>
        </w:tc>
        <w:tc>
          <w:tcPr>
            <w:tcW w:w="5494" w:type="dxa"/>
            <w:shd w:val="clear" w:color="auto" w:fill="FFFFFF" w:themeFill="background1"/>
            <w:vAlign w:val="center"/>
          </w:tcPr>
          <w:p w14:paraId="7B35AE5D" w14:textId="218D145A" w:rsidR="00675520" w:rsidRPr="004C6978" w:rsidRDefault="00675520" w:rsidP="00675520">
            <w:pPr>
              <w:pStyle w:val="paragraph"/>
              <w:textAlignment w:val="baseline"/>
              <w:rPr>
                <w:rFonts w:ascii="Arial" w:eastAsia="Arial" w:hAnsi="Arial" w:cs="Arial"/>
                <w:b/>
                <w:bCs/>
              </w:rPr>
            </w:pPr>
            <w:r w:rsidRPr="004C6978">
              <w:rPr>
                <w:rFonts w:ascii="Arial" w:hAnsi="Arial" w:cs="Arial"/>
              </w:rPr>
              <w:t>E9: Improved engagement numbers (numerical value)</w:t>
            </w:r>
          </w:p>
        </w:tc>
        <w:tc>
          <w:tcPr>
            <w:tcW w:w="1310" w:type="dxa"/>
            <w:shd w:val="clear" w:color="auto" w:fill="FFFFFF" w:themeFill="background1"/>
            <w:vAlign w:val="center"/>
          </w:tcPr>
          <w:p w14:paraId="64495484" w14:textId="3C528D0C" w:rsidR="00675520" w:rsidRPr="004C6978" w:rsidRDefault="00675520" w:rsidP="00C652FB">
            <w:pPr>
              <w:pStyle w:val="paragraph"/>
              <w:jc w:val="center"/>
              <w:textAlignment w:val="baseline"/>
              <w:rPr>
                <w:rFonts w:ascii="Arial" w:eastAsia="Arial" w:hAnsi="Arial" w:cs="Arial"/>
                <w:b/>
                <w:bCs/>
              </w:rPr>
            </w:pPr>
            <w:r w:rsidRPr="004C6978">
              <w:rPr>
                <w:rFonts w:ascii="Arial" w:hAnsi="Arial" w:cs="Arial"/>
                <w:b/>
                <w:bCs/>
              </w:rPr>
              <w:t>500</w:t>
            </w:r>
          </w:p>
        </w:tc>
      </w:tr>
      <w:tr w:rsidR="004C6978" w:rsidRPr="004C6978" w14:paraId="173640D9" w14:textId="7E255CAC" w:rsidTr="0010354B">
        <w:trPr>
          <w:trHeight w:val="360"/>
        </w:trPr>
        <w:tc>
          <w:tcPr>
            <w:tcW w:w="2405" w:type="dxa"/>
            <w:hideMark/>
          </w:tcPr>
          <w:p w14:paraId="3554043D" w14:textId="77777777" w:rsidR="00675520" w:rsidRPr="004C6978" w:rsidRDefault="00675520" w:rsidP="00675520">
            <w:pPr>
              <w:pStyle w:val="paragraph"/>
              <w:textAlignment w:val="baseline"/>
              <w:rPr>
                <w:rFonts w:ascii="Arial" w:eastAsia="Arial" w:hAnsi="Arial" w:cs="Arial"/>
                <w:b/>
                <w:bCs/>
              </w:rPr>
            </w:pPr>
            <w:r w:rsidRPr="004C6978">
              <w:rPr>
                <w:rFonts w:ascii="Arial" w:eastAsia="Arial" w:hAnsi="Arial" w:cs="Arial"/>
                <w:b/>
                <w:bCs/>
              </w:rPr>
              <w:t>Energy advice &amp; cost of living project</w:t>
            </w:r>
          </w:p>
        </w:tc>
        <w:tc>
          <w:tcPr>
            <w:tcW w:w="5494" w:type="dxa"/>
            <w:shd w:val="clear" w:color="auto" w:fill="FFFFFF" w:themeFill="background1"/>
            <w:vAlign w:val="center"/>
          </w:tcPr>
          <w:p w14:paraId="6C29AA56" w14:textId="763E0CFD" w:rsidR="00675520" w:rsidRPr="004C6978" w:rsidRDefault="00675520" w:rsidP="00675520">
            <w:pPr>
              <w:pStyle w:val="paragraph"/>
              <w:textAlignment w:val="baseline"/>
              <w:rPr>
                <w:rFonts w:ascii="Arial" w:eastAsia="Arial" w:hAnsi="Arial" w:cs="Arial"/>
                <w:b/>
                <w:bCs/>
              </w:rPr>
            </w:pPr>
            <w:r w:rsidRPr="004C6978">
              <w:rPr>
                <w:rFonts w:ascii="Arial" w:hAnsi="Arial" w:cs="Arial"/>
              </w:rPr>
              <w:t>E13: Increased take up of energy efficiency measures (numerical value)</w:t>
            </w:r>
          </w:p>
        </w:tc>
        <w:tc>
          <w:tcPr>
            <w:tcW w:w="1310" w:type="dxa"/>
            <w:shd w:val="clear" w:color="auto" w:fill="FFFFFF" w:themeFill="background1"/>
            <w:vAlign w:val="center"/>
          </w:tcPr>
          <w:p w14:paraId="7A6128DE" w14:textId="45853780" w:rsidR="00675520" w:rsidRPr="004C6978" w:rsidRDefault="00675520" w:rsidP="00C652FB">
            <w:pPr>
              <w:pStyle w:val="paragraph"/>
              <w:jc w:val="center"/>
              <w:textAlignment w:val="baseline"/>
              <w:rPr>
                <w:rFonts w:ascii="Arial" w:eastAsia="Arial" w:hAnsi="Arial" w:cs="Arial"/>
                <w:b/>
                <w:bCs/>
              </w:rPr>
            </w:pPr>
            <w:r w:rsidRPr="004C6978">
              <w:rPr>
                <w:rFonts w:ascii="Arial" w:hAnsi="Arial" w:cs="Arial"/>
                <w:b/>
                <w:bCs/>
              </w:rPr>
              <w:t>160</w:t>
            </w:r>
          </w:p>
        </w:tc>
      </w:tr>
    </w:tbl>
    <w:p w14:paraId="6AE73390" w14:textId="77777777" w:rsidR="00B65B60" w:rsidRDefault="00B65B60" w:rsidP="00338FA4">
      <w:pPr>
        <w:pStyle w:val="paragraph"/>
        <w:spacing w:before="0" w:beforeAutospacing="0" w:after="0" w:afterAutospacing="0"/>
        <w:textAlignment w:val="baseline"/>
        <w:rPr>
          <w:rFonts w:ascii="Arial" w:eastAsia="Arial" w:hAnsi="Arial" w:cs="Arial"/>
        </w:rPr>
      </w:pPr>
    </w:p>
    <w:p w14:paraId="42777762" w14:textId="08DE7C1C" w:rsidR="00B65B60" w:rsidRPr="004C6978" w:rsidRDefault="004C6978" w:rsidP="00338FA4">
      <w:pPr>
        <w:pStyle w:val="paragraph"/>
        <w:spacing w:before="0" w:beforeAutospacing="0" w:after="0" w:afterAutospacing="0"/>
        <w:textAlignment w:val="baseline"/>
        <w:rPr>
          <w:rFonts w:ascii="Arial" w:eastAsia="Arial" w:hAnsi="Arial" w:cs="Arial"/>
          <w:b/>
          <w:bCs/>
        </w:rPr>
      </w:pPr>
      <w:r w:rsidRPr="004C6978">
        <w:rPr>
          <w:rFonts w:ascii="Arial" w:eastAsia="Arial" w:hAnsi="Arial" w:cs="Arial"/>
          <w:b/>
          <w:bCs/>
        </w:rPr>
        <w:t>Supporting</w:t>
      </w:r>
      <w:r w:rsidR="00B65B60" w:rsidRPr="004C6978">
        <w:rPr>
          <w:rFonts w:ascii="Arial" w:eastAsia="Arial" w:hAnsi="Arial" w:cs="Arial"/>
          <w:b/>
          <w:bCs/>
        </w:rPr>
        <w:t xml:space="preserve"> Local Business Outputs and Outcomes</w:t>
      </w:r>
    </w:p>
    <w:tbl>
      <w:tblPr>
        <w:tblStyle w:val="TableGrid"/>
        <w:tblW w:w="9292" w:type="dxa"/>
        <w:tblLook w:val="04A0" w:firstRow="1" w:lastRow="0" w:firstColumn="1" w:lastColumn="0" w:noHBand="0" w:noVBand="1"/>
      </w:tblPr>
      <w:tblGrid>
        <w:gridCol w:w="2405"/>
        <w:gridCol w:w="5528"/>
        <w:gridCol w:w="1359"/>
      </w:tblGrid>
      <w:tr w:rsidR="004C6978" w:rsidRPr="004C6978" w14:paraId="678E6185" w14:textId="77777777" w:rsidTr="0010354B">
        <w:trPr>
          <w:trHeight w:val="360"/>
        </w:trPr>
        <w:tc>
          <w:tcPr>
            <w:tcW w:w="2405" w:type="dxa"/>
            <w:shd w:val="clear" w:color="auto" w:fill="D9D9D9" w:themeFill="background1" w:themeFillShade="D9"/>
          </w:tcPr>
          <w:p w14:paraId="062DAA8A" w14:textId="45655910" w:rsidR="004C6978" w:rsidRPr="004C6978" w:rsidRDefault="004C6978" w:rsidP="00DF170F">
            <w:pPr>
              <w:pStyle w:val="paragraph"/>
              <w:textAlignment w:val="baseline"/>
              <w:rPr>
                <w:rFonts w:ascii="Arial" w:hAnsi="Arial" w:cs="Arial"/>
                <w:b/>
                <w:bCs/>
              </w:rPr>
            </w:pPr>
            <w:r>
              <w:rPr>
                <w:rFonts w:ascii="Arial" w:hAnsi="Arial" w:cs="Arial"/>
                <w:b/>
                <w:bCs/>
              </w:rPr>
              <w:t>Outputs</w:t>
            </w:r>
          </w:p>
        </w:tc>
        <w:tc>
          <w:tcPr>
            <w:tcW w:w="5528" w:type="dxa"/>
            <w:shd w:val="clear" w:color="auto" w:fill="D9D9D9" w:themeFill="background1" w:themeFillShade="D9"/>
            <w:noWrap/>
          </w:tcPr>
          <w:p w14:paraId="20F42F26" w14:textId="77777777" w:rsidR="004C6978" w:rsidRPr="004C6978" w:rsidRDefault="004C6978" w:rsidP="00DF170F">
            <w:pPr>
              <w:pStyle w:val="paragraph"/>
              <w:textAlignment w:val="baseline"/>
              <w:rPr>
                <w:rFonts w:ascii="Arial" w:hAnsi="Arial" w:cs="Arial"/>
              </w:rPr>
            </w:pPr>
          </w:p>
        </w:tc>
        <w:tc>
          <w:tcPr>
            <w:tcW w:w="1359" w:type="dxa"/>
            <w:shd w:val="clear" w:color="auto" w:fill="D9D9D9" w:themeFill="background1" w:themeFillShade="D9"/>
            <w:noWrap/>
          </w:tcPr>
          <w:p w14:paraId="52C1956D" w14:textId="77777777" w:rsidR="004C6978" w:rsidRPr="004C6978" w:rsidRDefault="004C6978" w:rsidP="006A3998">
            <w:pPr>
              <w:pStyle w:val="paragraph"/>
              <w:jc w:val="center"/>
              <w:textAlignment w:val="baseline"/>
              <w:rPr>
                <w:rFonts w:ascii="Arial" w:hAnsi="Arial" w:cs="Arial"/>
                <w:b/>
                <w:bCs/>
              </w:rPr>
            </w:pPr>
          </w:p>
        </w:tc>
      </w:tr>
      <w:tr w:rsidR="004C6978" w:rsidRPr="004C6978" w14:paraId="50366835" w14:textId="77777777" w:rsidTr="0010354B">
        <w:trPr>
          <w:trHeight w:val="360"/>
        </w:trPr>
        <w:tc>
          <w:tcPr>
            <w:tcW w:w="2405" w:type="dxa"/>
            <w:hideMark/>
          </w:tcPr>
          <w:p w14:paraId="43A180C7" w14:textId="77777777" w:rsidR="004C6978" w:rsidRPr="004C6978" w:rsidRDefault="004C6978" w:rsidP="00DF170F">
            <w:pPr>
              <w:pStyle w:val="paragraph"/>
              <w:textAlignment w:val="baseline"/>
              <w:rPr>
                <w:rFonts w:ascii="Arial" w:hAnsi="Arial" w:cs="Arial"/>
                <w:b/>
                <w:bCs/>
              </w:rPr>
            </w:pPr>
            <w:r w:rsidRPr="004C6978">
              <w:rPr>
                <w:rFonts w:ascii="Arial" w:hAnsi="Arial" w:cs="Arial"/>
                <w:b/>
                <w:bCs/>
              </w:rPr>
              <w:t>Business Engagement</w:t>
            </w:r>
          </w:p>
        </w:tc>
        <w:tc>
          <w:tcPr>
            <w:tcW w:w="5528" w:type="dxa"/>
            <w:noWrap/>
            <w:hideMark/>
          </w:tcPr>
          <w:p w14:paraId="21BEA4AD" w14:textId="77777777" w:rsidR="004C6978" w:rsidRPr="004C6978" w:rsidRDefault="004C6978" w:rsidP="00DF170F">
            <w:pPr>
              <w:pStyle w:val="paragraph"/>
              <w:textAlignment w:val="baseline"/>
              <w:rPr>
                <w:rFonts w:ascii="Arial" w:hAnsi="Arial" w:cs="Arial"/>
              </w:rPr>
            </w:pPr>
            <w:r w:rsidRPr="004C6978">
              <w:rPr>
                <w:rFonts w:ascii="Arial" w:hAnsi="Arial" w:cs="Arial"/>
              </w:rPr>
              <w:t>E23: Number of enterprises receiving non-financial support (numerical value)</w:t>
            </w:r>
          </w:p>
        </w:tc>
        <w:tc>
          <w:tcPr>
            <w:tcW w:w="1359" w:type="dxa"/>
            <w:noWrap/>
            <w:hideMark/>
          </w:tcPr>
          <w:p w14:paraId="29C0457C" w14:textId="77777777" w:rsidR="004C6978" w:rsidRPr="004C6978" w:rsidRDefault="004C6978" w:rsidP="006A3998">
            <w:pPr>
              <w:pStyle w:val="paragraph"/>
              <w:jc w:val="center"/>
              <w:textAlignment w:val="baseline"/>
              <w:rPr>
                <w:rFonts w:ascii="Arial" w:hAnsi="Arial" w:cs="Arial"/>
                <w:b/>
                <w:bCs/>
              </w:rPr>
            </w:pPr>
            <w:r w:rsidRPr="004C6978">
              <w:rPr>
                <w:rFonts w:ascii="Arial" w:hAnsi="Arial" w:cs="Arial"/>
                <w:b/>
                <w:bCs/>
              </w:rPr>
              <w:t>200</w:t>
            </w:r>
          </w:p>
        </w:tc>
      </w:tr>
      <w:tr w:rsidR="004C6978" w:rsidRPr="004C6978" w14:paraId="0BC60295" w14:textId="77777777" w:rsidTr="0010354B">
        <w:trPr>
          <w:trHeight w:val="360"/>
        </w:trPr>
        <w:tc>
          <w:tcPr>
            <w:tcW w:w="2405" w:type="dxa"/>
            <w:hideMark/>
          </w:tcPr>
          <w:p w14:paraId="6C0891DB" w14:textId="77777777" w:rsidR="004C6978" w:rsidRPr="004C6978" w:rsidRDefault="004C6978" w:rsidP="00DF170F">
            <w:pPr>
              <w:pStyle w:val="paragraph"/>
              <w:textAlignment w:val="baseline"/>
              <w:rPr>
                <w:rFonts w:ascii="Arial" w:hAnsi="Arial" w:cs="Arial"/>
                <w:b/>
                <w:bCs/>
              </w:rPr>
            </w:pPr>
            <w:r w:rsidRPr="004C6978">
              <w:rPr>
                <w:rFonts w:ascii="Arial" w:hAnsi="Arial" w:cs="Arial"/>
                <w:b/>
                <w:bCs/>
              </w:rPr>
              <w:lastRenderedPageBreak/>
              <w:t>Business Support</w:t>
            </w:r>
          </w:p>
        </w:tc>
        <w:tc>
          <w:tcPr>
            <w:tcW w:w="5528" w:type="dxa"/>
            <w:noWrap/>
            <w:hideMark/>
          </w:tcPr>
          <w:p w14:paraId="19B07237" w14:textId="77777777" w:rsidR="004C6978" w:rsidRPr="004C6978" w:rsidRDefault="004C6978" w:rsidP="00DF170F">
            <w:pPr>
              <w:pStyle w:val="paragraph"/>
              <w:textAlignment w:val="baseline"/>
              <w:rPr>
                <w:rFonts w:ascii="Arial" w:hAnsi="Arial" w:cs="Arial"/>
              </w:rPr>
            </w:pPr>
            <w:r w:rsidRPr="004C6978">
              <w:rPr>
                <w:rFonts w:ascii="Arial" w:hAnsi="Arial" w:cs="Arial"/>
              </w:rPr>
              <w:t>E23: Number of enterprises receiving non-financial support (numerical value)</w:t>
            </w:r>
          </w:p>
        </w:tc>
        <w:tc>
          <w:tcPr>
            <w:tcW w:w="1359" w:type="dxa"/>
            <w:noWrap/>
            <w:hideMark/>
          </w:tcPr>
          <w:p w14:paraId="211A5F48" w14:textId="77777777" w:rsidR="004C6978" w:rsidRPr="004C6978" w:rsidRDefault="004C6978" w:rsidP="006A3998">
            <w:pPr>
              <w:pStyle w:val="paragraph"/>
              <w:jc w:val="center"/>
              <w:textAlignment w:val="baseline"/>
              <w:rPr>
                <w:rFonts w:ascii="Arial" w:hAnsi="Arial" w:cs="Arial"/>
                <w:b/>
                <w:bCs/>
              </w:rPr>
            </w:pPr>
            <w:r w:rsidRPr="004C6978">
              <w:rPr>
                <w:rFonts w:ascii="Arial" w:hAnsi="Arial" w:cs="Arial"/>
                <w:b/>
                <w:bCs/>
              </w:rPr>
              <w:t>90</w:t>
            </w:r>
          </w:p>
        </w:tc>
      </w:tr>
      <w:tr w:rsidR="004C6978" w:rsidRPr="004C6978" w14:paraId="49EEF198" w14:textId="77777777" w:rsidTr="0010354B">
        <w:trPr>
          <w:trHeight w:val="360"/>
        </w:trPr>
        <w:tc>
          <w:tcPr>
            <w:tcW w:w="2405" w:type="dxa"/>
            <w:hideMark/>
          </w:tcPr>
          <w:p w14:paraId="7F4C6258" w14:textId="02F1143D" w:rsidR="004C6978" w:rsidRPr="004C6978" w:rsidRDefault="004C6978" w:rsidP="00DF170F">
            <w:pPr>
              <w:pStyle w:val="paragraph"/>
              <w:textAlignment w:val="baseline"/>
              <w:rPr>
                <w:rFonts w:ascii="Arial" w:hAnsi="Arial" w:cs="Arial"/>
                <w:b/>
                <w:bCs/>
              </w:rPr>
            </w:pPr>
            <w:r w:rsidRPr="004C6978">
              <w:rPr>
                <w:rFonts w:ascii="Arial" w:hAnsi="Arial" w:cs="Arial"/>
                <w:b/>
                <w:bCs/>
              </w:rPr>
              <w:t>Reuse Laptop and Mobile Phones Start Up Kit Project</w:t>
            </w:r>
          </w:p>
        </w:tc>
        <w:tc>
          <w:tcPr>
            <w:tcW w:w="5528" w:type="dxa"/>
            <w:noWrap/>
            <w:hideMark/>
          </w:tcPr>
          <w:p w14:paraId="4A3B00A1" w14:textId="77777777" w:rsidR="004C6978" w:rsidRPr="004C6978" w:rsidRDefault="004C6978" w:rsidP="00DF170F">
            <w:pPr>
              <w:pStyle w:val="paragraph"/>
              <w:textAlignment w:val="baseline"/>
              <w:rPr>
                <w:rFonts w:ascii="Arial" w:hAnsi="Arial" w:cs="Arial"/>
              </w:rPr>
            </w:pPr>
            <w:r w:rsidRPr="004C6978">
              <w:rPr>
                <w:rFonts w:ascii="Arial" w:hAnsi="Arial" w:cs="Arial"/>
              </w:rPr>
              <w:t>E23: Number of enterprises receiving non-financial support (numerical value)</w:t>
            </w:r>
          </w:p>
        </w:tc>
        <w:tc>
          <w:tcPr>
            <w:tcW w:w="1359" w:type="dxa"/>
            <w:noWrap/>
            <w:hideMark/>
          </w:tcPr>
          <w:p w14:paraId="5493ECC4" w14:textId="77777777" w:rsidR="004C6978" w:rsidRPr="004C6978" w:rsidRDefault="004C6978" w:rsidP="006A3998">
            <w:pPr>
              <w:pStyle w:val="paragraph"/>
              <w:jc w:val="center"/>
              <w:textAlignment w:val="baseline"/>
              <w:rPr>
                <w:rFonts w:ascii="Arial" w:hAnsi="Arial" w:cs="Arial"/>
                <w:b/>
                <w:bCs/>
              </w:rPr>
            </w:pPr>
            <w:r w:rsidRPr="004C6978">
              <w:rPr>
                <w:rFonts w:ascii="Arial" w:hAnsi="Arial" w:cs="Arial"/>
                <w:b/>
                <w:bCs/>
              </w:rPr>
              <w:t>20</w:t>
            </w:r>
          </w:p>
        </w:tc>
      </w:tr>
    </w:tbl>
    <w:p w14:paraId="6B79EA40" w14:textId="7B0DBDBA" w:rsidR="00F0200F" w:rsidRDefault="00F0200F" w:rsidP="00330832">
      <w:pPr>
        <w:pStyle w:val="paragraph"/>
        <w:spacing w:before="0" w:beforeAutospacing="0" w:after="0" w:afterAutospacing="0"/>
        <w:textAlignment w:val="baseline"/>
        <w:rPr>
          <w:rFonts w:ascii="Segoe UI" w:hAnsi="Segoe UI" w:cs="Segoe UI"/>
          <w:sz w:val="18"/>
          <w:szCs w:val="18"/>
        </w:rPr>
      </w:pPr>
    </w:p>
    <w:p w14:paraId="4FF13FC8" w14:textId="77777777" w:rsidR="004C6978" w:rsidRDefault="004C6978" w:rsidP="00330832">
      <w:pPr>
        <w:pStyle w:val="paragraph"/>
        <w:spacing w:before="0" w:beforeAutospacing="0" w:after="0" w:afterAutospacing="0"/>
        <w:textAlignment w:val="baseline"/>
        <w:rPr>
          <w:rFonts w:ascii="Segoe UI" w:hAnsi="Segoe UI" w:cs="Segoe UI"/>
          <w:sz w:val="18"/>
          <w:szCs w:val="18"/>
        </w:rPr>
      </w:pPr>
    </w:p>
    <w:tbl>
      <w:tblPr>
        <w:tblStyle w:val="TableGrid"/>
        <w:tblW w:w="9351" w:type="dxa"/>
        <w:tblLook w:val="04A0" w:firstRow="1" w:lastRow="0" w:firstColumn="1" w:lastColumn="0" w:noHBand="0" w:noVBand="1"/>
      </w:tblPr>
      <w:tblGrid>
        <w:gridCol w:w="2405"/>
        <w:gridCol w:w="5528"/>
        <w:gridCol w:w="1418"/>
      </w:tblGrid>
      <w:tr w:rsidR="007B1E29" w:rsidRPr="004C6978" w14:paraId="4D94E1BF" w14:textId="77777777" w:rsidTr="00C652FB">
        <w:trPr>
          <w:trHeight w:val="360"/>
        </w:trPr>
        <w:tc>
          <w:tcPr>
            <w:tcW w:w="2405" w:type="dxa"/>
            <w:shd w:val="clear" w:color="auto" w:fill="D9D9D9" w:themeFill="background1" w:themeFillShade="D9"/>
          </w:tcPr>
          <w:p w14:paraId="7A80D3D6" w14:textId="77BF3F11" w:rsidR="007B1E29" w:rsidRPr="0047644D" w:rsidRDefault="0047644D">
            <w:pPr>
              <w:pStyle w:val="paragraph"/>
              <w:textAlignment w:val="baseline"/>
              <w:rPr>
                <w:rFonts w:ascii="Arial" w:hAnsi="Arial" w:cs="Arial"/>
                <w:b/>
                <w:bCs/>
              </w:rPr>
            </w:pPr>
            <w:r w:rsidRPr="0047644D">
              <w:rPr>
                <w:rFonts w:ascii="Arial" w:hAnsi="Arial" w:cs="Arial"/>
                <w:b/>
                <w:bCs/>
              </w:rPr>
              <w:t>Outcomes</w:t>
            </w:r>
          </w:p>
        </w:tc>
        <w:tc>
          <w:tcPr>
            <w:tcW w:w="5528" w:type="dxa"/>
            <w:shd w:val="clear" w:color="auto" w:fill="D9D9D9" w:themeFill="background1" w:themeFillShade="D9"/>
          </w:tcPr>
          <w:p w14:paraId="3B4BAA8F" w14:textId="77777777" w:rsidR="007B1E29" w:rsidRPr="004C6978" w:rsidRDefault="007B1E29">
            <w:pPr>
              <w:pStyle w:val="paragraph"/>
              <w:textAlignment w:val="baseline"/>
              <w:rPr>
                <w:rFonts w:ascii="Arial" w:hAnsi="Arial" w:cs="Arial"/>
                <w:b/>
                <w:bCs/>
              </w:rPr>
            </w:pPr>
          </w:p>
        </w:tc>
        <w:tc>
          <w:tcPr>
            <w:tcW w:w="1418" w:type="dxa"/>
            <w:shd w:val="clear" w:color="auto" w:fill="D9D9D9" w:themeFill="background1" w:themeFillShade="D9"/>
          </w:tcPr>
          <w:p w14:paraId="60DB067D" w14:textId="77777777" w:rsidR="007B1E29" w:rsidRPr="004C6978" w:rsidRDefault="007B1E29">
            <w:pPr>
              <w:pStyle w:val="paragraph"/>
              <w:textAlignment w:val="baseline"/>
              <w:rPr>
                <w:rFonts w:ascii="Arial" w:hAnsi="Arial" w:cs="Arial"/>
                <w:b/>
                <w:bCs/>
              </w:rPr>
            </w:pPr>
          </w:p>
        </w:tc>
      </w:tr>
      <w:tr w:rsidR="0083219C" w:rsidRPr="004C6978" w14:paraId="17E13306" w14:textId="26D8FE79" w:rsidTr="00C652FB">
        <w:trPr>
          <w:trHeight w:val="360"/>
        </w:trPr>
        <w:tc>
          <w:tcPr>
            <w:tcW w:w="2405" w:type="dxa"/>
            <w:vMerge w:val="restart"/>
            <w:hideMark/>
          </w:tcPr>
          <w:p w14:paraId="554374B5" w14:textId="77777777" w:rsidR="0083219C" w:rsidRPr="004C6978" w:rsidRDefault="0083219C" w:rsidP="0083219C">
            <w:pPr>
              <w:pStyle w:val="paragraph"/>
              <w:textAlignment w:val="baseline"/>
              <w:rPr>
                <w:rFonts w:ascii="Arial" w:hAnsi="Arial" w:cs="Arial"/>
                <w:b/>
                <w:bCs/>
              </w:rPr>
            </w:pPr>
            <w:r w:rsidRPr="004C6978">
              <w:rPr>
                <w:rFonts w:ascii="Arial" w:hAnsi="Arial" w:cs="Arial"/>
                <w:b/>
                <w:bCs/>
              </w:rPr>
              <w:t>Business Engagement</w:t>
            </w:r>
          </w:p>
        </w:tc>
        <w:tc>
          <w:tcPr>
            <w:tcW w:w="5528" w:type="dxa"/>
            <w:shd w:val="clear" w:color="auto" w:fill="auto"/>
            <w:vAlign w:val="center"/>
          </w:tcPr>
          <w:p w14:paraId="6F7F8940" w14:textId="68CF1133" w:rsidR="0083219C" w:rsidRPr="00C652FB" w:rsidRDefault="0083219C" w:rsidP="0083219C">
            <w:pPr>
              <w:pStyle w:val="paragraph"/>
              <w:textAlignment w:val="baseline"/>
              <w:rPr>
                <w:rFonts w:ascii="Arial" w:hAnsi="Arial" w:cs="Arial"/>
                <w:b/>
                <w:bCs/>
              </w:rPr>
            </w:pPr>
            <w:r w:rsidRPr="00C652FB">
              <w:rPr>
                <w:rFonts w:ascii="Arial" w:hAnsi="Arial" w:cs="Arial"/>
                <w:sz w:val="22"/>
                <w:szCs w:val="22"/>
              </w:rPr>
              <w:t>E23: Jobs created (numerical value)</w:t>
            </w:r>
          </w:p>
        </w:tc>
        <w:tc>
          <w:tcPr>
            <w:tcW w:w="1418" w:type="dxa"/>
            <w:shd w:val="clear" w:color="auto" w:fill="auto"/>
            <w:vAlign w:val="center"/>
          </w:tcPr>
          <w:p w14:paraId="6DA74072" w14:textId="6AD3C61D" w:rsidR="0083219C" w:rsidRPr="00C652FB" w:rsidRDefault="0083219C" w:rsidP="006A3998">
            <w:pPr>
              <w:pStyle w:val="paragraph"/>
              <w:jc w:val="center"/>
              <w:textAlignment w:val="baseline"/>
              <w:rPr>
                <w:rFonts w:ascii="Arial" w:hAnsi="Arial" w:cs="Arial"/>
                <w:b/>
                <w:bCs/>
              </w:rPr>
            </w:pPr>
            <w:r w:rsidRPr="00C652FB">
              <w:rPr>
                <w:rFonts w:ascii="Arial" w:hAnsi="Arial" w:cs="Arial"/>
                <w:b/>
                <w:bCs/>
                <w:sz w:val="22"/>
                <w:szCs w:val="22"/>
              </w:rPr>
              <w:t>1</w:t>
            </w:r>
          </w:p>
        </w:tc>
      </w:tr>
      <w:tr w:rsidR="0083219C" w:rsidRPr="004C6978" w14:paraId="07804DF3" w14:textId="359F40F0" w:rsidTr="00C652FB">
        <w:trPr>
          <w:trHeight w:val="360"/>
        </w:trPr>
        <w:tc>
          <w:tcPr>
            <w:tcW w:w="2405" w:type="dxa"/>
            <w:vMerge/>
            <w:hideMark/>
          </w:tcPr>
          <w:p w14:paraId="356F3CE8" w14:textId="77777777" w:rsidR="0083219C" w:rsidRPr="004C6978" w:rsidRDefault="0083219C" w:rsidP="0083219C">
            <w:pPr>
              <w:pStyle w:val="paragraph"/>
              <w:textAlignment w:val="baseline"/>
              <w:rPr>
                <w:rFonts w:ascii="Arial" w:hAnsi="Arial" w:cs="Arial"/>
                <w:b/>
                <w:bCs/>
              </w:rPr>
            </w:pPr>
          </w:p>
        </w:tc>
        <w:tc>
          <w:tcPr>
            <w:tcW w:w="5528" w:type="dxa"/>
            <w:shd w:val="clear" w:color="auto" w:fill="auto"/>
            <w:vAlign w:val="center"/>
          </w:tcPr>
          <w:p w14:paraId="30BD2C0D" w14:textId="596438A6" w:rsidR="0083219C" w:rsidRPr="00C652FB" w:rsidRDefault="0083219C" w:rsidP="0083219C">
            <w:pPr>
              <w:pStyle w:val="paragraph"/>
              <w:textAlignment w:val="baseline"/>
              <w:rPr>
                <w:rFonts w:ascii="Arial" w:hAnsi="Arial" w:cs="Arial"/>
                <w:b/>
                <w:bCs/>
              </w:rPr>
            </w:pPr>
            <w:r w:rsidRPr="00C652FB">
              <w:rPr>
                <w:rFonts w:ascii="Arial" w:hAnsi="Arial" w:cs="Arial"/>
                <w:sz w:val="22"/>
                <w:szCs w:val="22"/>
              </w:rPr>
              <w:t>E23: Jobs safeguarded (numerical value)</w:t>
            </w:r>
          </w:p>
        </w:tc>
        <w:tc>
          <w:tcPr>
            <w:tcW w:w="1418" w:type="dxa"/>
            <w:shd w:val="clear" w:color="auto" w:fill="auto"/>
            <w:vAlign w:val="center"/>
          </w:tcPr>
          <w:p w14:paraId="398AF59A" w14:textId="74DE2AB8" w:rsidR="0083219C" w:rsidRPr="00C652FB" w:rsidRDefault="0083219C" w:rsidP="006A3998">
            <w:pPr>
              <w:pStyle w:val="paragraph"/>
              <w:jc w:val="center"/>
              <w:textAlignment w:val="baseline"/>
              <w:rPr>
                <w:rFonts w:ascii="Arial" w:hAnsi="Arial" w:cs="Arial"/>
                <w:b/>
                <w:bCs/>
              </w:rPr>
            </w:pPr>
            <w:r w:rsidRPr="00C652FB">
              <w:rPr>
                <w:rFonts w:ascii="Arial" w:hAnsi="Arial" w:cs="Arial"/>
                <w:b/>
                <w:bCs/>
                <w:sz w:val="22"/>
                <w:szCs w:val="22"/>
              </w:rPr>
              <w:t>1</w:t>
            </w:r>
          </w:p>
        </w:tc>
      </w:tr>
      <w:tr w:rsidR="004E5B6E" w:rsidRPr="004C6978" w14:paraId="6D07843D" w14:textId="469B9E30" w:rsidTr="00C652FB">
        <w:trPr>
          <w:trHeight w:val="360"/>
        </w:trPr>
        <w:tc>
          <w:tcPr>
            <w:tcW w:w="2405" w:type="dxa"/>
            <w:vMerge w:val="restart"/>
            <w:hideMark/>
          </w:tcPr>
          <w:p w14:paraId="79953B0E" w14:textId="77777777" w:rsidR="004E5B6E" w:rsidRPr="004C6978" w:rsidRDefault="004E5B6E" w:rsidP="004E5B6E">
            <w:pPr>
              <w:pStyle w:val="paragraph"/>
              <w:textAlignment w:val="baseline"/>
              <w:rPr>
                <w:rFonts w:ascii="Arial" w:hAnsi="Arial" w:cs="Arial"/>
                <w:b/>
                <w:bCs/>
              </w:rPr>
            </w:pPr>
            <w:r w:rsidRPr="004C6978">
              <w:rPr>
                <w:rFonts w:ascii="Arial" w:hAnsi="Arial" w:cs="Arial"/>
                <w:b/>
                <w:bCs/>
              </w:rPr>
              <w:t>Business Support</w:t>
            </w:r>
          </w:p>
        </w:tc>
        <w:tc>
          <w:tcPr>
            <w:tcW w:w="5528" w:type="dxa"/>
            <w:shd w:val="clear" w:color="auto" w:fill="auto"/>
            <w:vAlign w:val="center"/>
          </w:tcPr>
          <w:p w14:paraId="30E3E696" w14:textId="73BF0FAB" w:rsidR="004E5B6E" w:rsidRPr="00C652FB" w:rsidRDefault="004E5B6E" w:rsidP="004E5B6E">
            <w:pPr>
              <w:pStyle w:val="paragraph"/>
              <w:textAlignment w:val="baseline"/>
              <w:rPr>
                <w:rFonts w:ascii="Arial" w:hAnsi="Arial" w:cs="Arial"/>
                <w:b/>
                <w:bCs/>
              </w:rPr>
            </w:pPr>
            <w:r w:rsidRPr="00C652FB">
              <w:rPr>
                <w:rFonts w:ascii="Arial" w:hAnsi="Arial" w:cs="Arial"/>
                <w:sz w:val="22"/>
                <w:szCs w:val="22"/>
              </w:rPr>
              <w:t>E23: Jobs created (numerical value)</w:t>
            </w:r>
          </w:p>
        </w:tc>
        <w:tc>
          <w:tcPr>
            <w:tcW w:w="1418" w:type="dxa"/>
            <w:shd w:val="clear" w:color="auto" w:fill="auto"/>
            <w:vAlign w:val="center"/>
          </w:tcPr>
          <w:p w14:paraId="5B107B51" w14:textId="03C904DE" w:rsidR="004E5B6E" w:rsidRPr="00C652FB" w:rsidRDefault="004E5B6E" w:rsidP="006A3998">
            <w:pPr>
              <w:pStyle w:val="paragraph"/>
              <w:jc w:val="center"/>
              <w:textAlignment w:val="baseline"/>
              <w:rPr>
                <w:rFonts w:ascii="Arial" w:hAnsi="Arial" w:cs="Arial"/>
                <w:b/>
                <w:bCs/>
              </w:rPr>
            </w:pPr>
            <w:r w:rsidRPr="00C652FB">
              <w:rPr>
                <w:rFonts w:ascii="Arial" w:hAnsi="Arial" w:cs="Arial"/>
                <w:b/>
                <w:bCs/>
                <w:sz w:val="22"/>
                <w:szCs w:val="22"/>
              </w:rPr>
              <w:t>1</w:t>
            </w:r>
          </w:p>
        </w:tc>
      </w:tr>
      <w:tr w:rsidR="004E5B6E" w:rsidRPr="004C6978" w14:paraId="5EBBBAD3" w14:textId="6175E528" w:rsidTr="00C652FB">
        <w:trPr>
          <w:trHeight w:val="360"/>
        </w:trPr>
        <w:tc>
          <w:tcPr>
            <w:tcW w:w="2405" w:type="dxa"/>
            <w:vMerge/>
            <w:hideMark/>
          </w:tcPr>
          <w:p w14:paraId="5469179D" w14:textId="77777777" w:rsidR="004E5B6E" w:rsidRPr="004C6978" w:rsidRDefault="004E5B6E" w:rsidP="004E5B6E">
            <w:pPr>
              <w:pStyle w:val="paragraph"/>
              <w:textAlignment w:val="baseline"/>
              <w:rPr>
                <w:rFonts w:ascii="Arial" w:hAnsi="Arial" w:cs="Arial"/>
                <w:b/>
                <w:bCs/>
              </w:rPr>
            </w:pPr>
          </w:p>
        </w:tc>
        <w:tc>
          <w:tcPr>
            <w:tcW w:w="5528" w:type="dxa"/>
            <w:shd w:val="clear" w:color="auto" w:fill="auto"/>
            <w:vAlign w:val="center"/>
          </w:tcPr>
          <w:p w14:paraId="17A14CD5" w14:textId="51CC61EF" w:rsidR="004E5B6E" w:rsidRPr="00C652FB" w:rsidRDefault="004E5B6E" w:rsidP="004E5B6E">
            <w:pPr>
              <w:pStyle w:val="paragraph"/>
              <w:textAlignment w:val="baseline"/>
              <w:rPr>
                <w:rFonts w:ascii="Arial" w:hAnsi="Arial" w:cs="Arial"/>
                <w:b/>
                <w:bCs/>
              </w:rPr>
            </w:pPr>
            <w:r w:rsidRPr="00C652FB">
              <w:rPr>
                <w:rFonts w:ascii="Arial" w:hAnsi="Arial" w:cs="Arial"/>
                <w:sz w:val="22"/>
                <w:szCs w:val="22"/>
              </w:rPr>
              <w:t>E23: Jobs safeguarded (numerical value)</w:t>
            </w:r>
          </w:p>
        </w:tc>
        <w:tc>
          <w:tcPr>
            <w:tcW w:w="1418" w:type="dxa"/>
            <w:shd w:val="clear" w:color="auto" w:fill="auto"/>
            <w:vAlign w:val="center"/>
          </w:tcPr>
          <w:p w14:paraId="02E5161D" w14:textId="28D5EAE3" w:rsidR="004E5B6E" w:rsidRPr="00C652FB" w:rsidRDefault="004E5B6E" w:rsidP="006A3998">
            <w:pPr>
              <w:pStyle w:val="paragraph"/>
              <w:jc w:val="center"/>
              <w:textAlignment w:val="baseline"/>
              <w:rPr>
                <w:rFonts w:ascii="Arial" w:hAnsi="Arial" w:cs="Arial"/>
                <w:b/>
                <w:bCs/>
              </w:rPr>
            </w:pPr>
            <w:r w:rsidRPr="00C652FB">
              <w:rPr>
                <w:rFonts w:ascii="Arial" w:hAnsi="Arial" w:cs="Arial"/>
                <w:b/>
                <w:bCs/>
                <w:sz w:val="22"/>
                <w:szCs w:val="22"/>
              </w:rPr>
              <w:t>1</w:t>
            </w:r>
          </w:p>
        </w:tc>
      </w:tr>
      <w:tr w:rsidR="004E5B6E" w:rsidRPr="004C6978" w14:paraId="5535A547" w14:textId="31F2FBEE" w:rsidTr="00C652FB">
        <w:trPr>
          <w:trHeight w:val="360"/>
        </w:trPr>
        <w:tc>
          <w:tcPr>
            <w:tcW w:w="2405" w:type="dxa"/>
            <w:vMerge/>
            <w:hideMark/>
          </w:tcPr>
          <w:p w14:paraId="62FB13DB" w14:textId="77777777" w:rsidR="004E5B6E" w:rsidRPr="004C6978" w:rsidRDefault="004E5B6E" w:rsidP="004E5B6E">
            <w:pPr>
              <w:pStyle w:val="paragraph"/>
              <w:textAlignment w:val="baseline"/>
              <w:rPr>
                <w:rFonts w:ascii="Arial" w:hAnsi="Arial" w:cs="Arial"/>
                <w:b/>
                <w:bCs/>
              </w:rPr>
            </w:pPr>
          </w:p>
        </w:tc>
        <w:tc>
          <w:tcPr>
            <w:tcW w:w="5528" w:type="dxa"/>
            <w:shd w:val="clear" w:color="auto" w:fill="auto"/>
            <w:vAlign w:val="center"/>
          </w:tcPr>
          <w:p w14:paraId="1C4B421F" w14:textId="31A0D0DF" w:rsidR="004E5B6E" w:rsidRPr="00C652FB" w:rsidRDefault="004E5B6E" w:rsidP="004E5B6E">
            <w:pPr>
              <w:pStyle w:val="paragraph"/>
              <w:textAlignment w:val="baseline"/>
              <w:rPr>
                <w:rFonts w:ascii="Arial" w:hAnsi="Arial" w:cs="Arial"/>
                <w:b/>
                <w:bCs/>
              </w:rPr>
            </w:pPr>
            <w:r w:rsidRPr="00C652FB">
              <w:rPr>
                <w:rFonts w:ascii="Arial" w:hAnsi="Arial" w:cs="Arial"/>
                <w:sz w:val="22"/>
                <w:szCs w:val="22"/>
              </w:rPr>
              <w:t>E23: Number of new enterprises created (numerical value)</w:t>
            </w:r>
          </w:p>
        </w:tc>
        <w:tc>
          <w:tcPr>
            <w:tcW w:w="1418" w:type="dxa"/>
            <w:shd w:val="clear" w:color="auto" w:fill="auto"/>
            <w:vAlign w:val="center"/>
          </w:tcPr>
          <w:p w14:paraId="51B7AB48" w14:textId="0179BCA7" w:rsidR="004E5B6E" w:rsidRPr="00C652FB" w:rsidRDefault="004E5B6E" w:rsidP="006A3998">
            <w:pPr>
              <w:pStyle w:val="paragraph"/>
              <w:jc w:val="center"/>
              <w:textAlignment w:val="baseline"/>
              <w:rPr>
                <w:rFonts w:ascii="Arial" w:hAnsi="Arial" w:cs="Arial"/>
                <w:b/>
                <w:bCs/>
              </w:rPr>
            </w:pPr>
            <w:r w:rsidRPr="00C652FB">
              <w:rPr>
                <w:rFonts w:ascii="Arial" w:hAnsi="Arial" w:cs="Arial"/>
                <w:b/>
                <w:bCs/>
                <w:sz w:val="22"/>
                <w:szCs w:val="22"/>
              </w:rPr>
              <w:t>10</w:t>
            </w:r>
          </w:p>
        </w:tc>
      </w:tr>
      <w:tr w:rsidR="004E5B6E" w:rsidRPr="004C6978" w14:paraId="0F640969" w14:textId="76695E68" w:rsidTr="00C652FB">
        <w:trPr>
          <w:trHeight w:val="360"/>
        </w:trPr>
        <w:tc>
          <w:tcPr>
            <w:tcW w:w="2405" w:type="dxa"/>
            <w:vMerge/>
            <w:hideMark/>
          </w:tcPr>
          <w:p w14:paraId="06128424" w14:textId="77777777" w:rsidR="004E5B6E" w:rsidRPr="004C6978" w:rsidRDefault="004E5B6E" w:rsidP="004E5B6E">
            <w:pPr>
              <w:pStyle w:val="paragraph"/>
              <w:textAlignment w:val="baseline"/>
              <w:rPr>
                <w:rFonts w:ascii="Arial" w:hAnsi="Arial" w:cs="Arial"/>
                <w:b/>
                <w:bCs/>
              </w:rPr>
            </w:pPr>
          </w:p>
        </w:tc>
        <w:tc>
          <w:tcPr>
            <w:tcW w:w="5528" w:type="dxa"/>
            <w:shd w:val="clear" w:color="auto" w:fill="auto"/>
            <w:vAlign w:val="center"/>
          </w:tcPr>
          <w:p w14:paraId="588DED1B" w14:textId="36470AA4" w:rsidR="004E5B6E" w:rsidRPr="00C652FB" w:rsidRDefault="004E5B6E" w:rsidP="004E5B6E">
            <w:pPr>
              <w:pStyle w:val="paragraph"/>
              <w:textAlignment w:val="baseline"/>
              <w:rPr>
                <w:rFonts w:ascii="Arial" w:hAnsi="Arial" w:cs="Arial"/>
                <w:b/>
                <w:bCs/>
              </w:rPr>
            </w:pPr>
            <w:r w:rsidRPr="00C652FB">
              <w:rPr>
                <w:rFonts w:ascii="Arial" w:hAnsi="Arial" w:cs="Arial"/>
                <w:sz w:val="22"/>
                <w:szCs w:val="22"/>
              </w:rPr>
              <w:t xml:space="preserve">E23: Number of enterprises adopting new or improved products or services (numerical value) </w:t>
            </w:r>
          </w:p>
        </w:tc>
        <w:tc>
          <w:tcPr>
            <w:tcW w:w="1418" w:type="dxa"/>
            <w:shd w:val="clear" w:color="auto" w:fill="auto"/>
            <w:vAlign w:val="center"/>
          </w:tcPr>
          <w:p w14:paraId="4357A714" w14:textId="5E70035A" w:rsidR="004E5B6E" w:rsidRPr="00C652FB" w:rsidRDefault="004E5B6E" w:rsidP="006A3998">
            <w:pPr>
              <w:pStyle w:val="paragraph"/>
              <w:jc w:val="center"/>
              <w:textAlignment w:val="baseline"/>
              <w:rPr>
                <w:rFonts w:ascii="Arial" w:hAnsi="Arial" w:cs="Arial"/>
                <w:b/>
                <w:bCs/>
              </w:rPr>
            </w:pPr>
            <w:r w:rsidRPr="00C652FB">
              <w:rPr>
                <w:rFonts w:ascii="Arial" w:hAnsi="Arial" w:cs="Arial"/>
                <w:b/>
                <w:bCs/>
                <w:sz w:val="22"/>
                <w:szCs w:val="22"/>
              </w:rPr>
              <w:t>40</w:t>
            </w:r>
          </w:p>
        </w:tc>
      </w:tr>
      <w:tr w:rsidR="00C652FB" w:rsidRPr="004C6978" w14:paraId="732A1B9F" w14:textId="7F3E8FEA" w:rsidTr="00C652FB">
        <w:trPr>
          <w:trHeight w:val="360"/>
        </w:trPr>
        <w:tc>
          <w:tcPr>
            <w:tcW w:w="2405" w:type="dxa"/>
            <w:vMerge w:val="restart"/>
            <w:hideMark/>
          </w:tcPr>
          <w:p w14:paraId="4BF0E265" w14:textId="77777777" w:rsidR="00C652FB" w:rsidRPr="004C6978" w:rsidRDefault="00C652FB" w:rsidP="00C652FB">
            <w:pPr>
              <w:pStyle w:val="paragraph"/>
              <w:textAlignment w:val="baseline"/>
              <w:rPr>
                <w:rFonts w:ascii="Arial" w:hAnsi="Arial" w:cs="Arial"/>
                <w:b/>
                <w:bCs/>
              </w:rPr>
            </w:pPr>
            <w:r w:rsidRPr="004C6978">
              <w:rPr>
                <w:rFonts w:ascii="Arial" w:hAnsi="Arial" w:cs="Arial"/>
                <w:b/>
                <w:bCs/>
              </w:rPr>
              <w:t xml:space="preserve">Reuse Laptop and </w:t>
            </w:r>
            <w:r w:rsidRPr="004C6978">
              <w:rPr>
                <w:rFonts w:ascii="Arial" w:hAnsi="Arial" w:cs="Arial"/>
                <w:b/>
                <w:bCs/>
              </w:rPr>
              <w:br/>
              <w:t xml:space="preserve">Mobile Phones </w:t>
            </w:r>
            <w:r w:rsidRPr="004C6978">
              <w:rPr>
                <w:rFonts w:ascii="Arial" w:hAnsi="Arial" w:cs="Arial"/>
                <w:b/>
                <w:bCs/>
              </w:rPr>
              <w:br/>
              <w:t>Start Up Kit Project</w:t>
            </w:r>
          </w:p>
        </w:tc>
        <w:tc>
          <w:tcPr>
            <w:tcW w:w="5528" w:type="dxa"/>
            <w:shd w:val="clear" w:color="auto" w:fill="auto"/>
            <w:vAlign w:val="center"/>
          </w:tcPr>
          <w:p w14:paraId="41A7E50E" w14:textId="2122CCC8" w:rsidR="00C652FB" w:rsidRPr="00C652FB" w:rsidRDefault="00C652FB" w:rsidP="00C652FB">
            <w:pPr>
              <w:pStyle w:val="paragraph"/>
              <w:textAlignment w:val="baseline"/>
              <w:rPr>
                <w:rFonts w:ascii="Arial" w:hAnsi="Arial" w:cs="Arial"/>
                <w:b/>
                <w:bCs/>
              </w:rPr>
            </w:pPr>
            <w:r w:rsidRPr="00C652FB">
              <w:rPr>
                <w:rFonts w:ascii="Arial" w:hAnsi="Arial" w:cs="Arial"/>
                <w:sz w:val="22"/>
                <w:szCs w:val="22"/>
              </w:rPr>
              <w:t>E23: Jobs created (numerical value)</w:t>
            </w:r>
          </w:p>
        </w:tc>
        <w:tc>
          <w:tcPr>
            <w:tcW w:w="1418" w:type="dxa"/>
            <w:shd w:val="clear" w:color="auto" w:fill="auto"/>
            <w:vAlign w:val="center"/>
          </w:tcPr>
          <w:p w14:paraId="1E240B08" w14:textId="4F16C86E" w:rsidR="00C652FB" w:rsidRPr="00C652FB" w:rsidRDefault="00C652FB" w:rsidP="006A3998">
            <w:pPr>
              <w:pStyle w:val="paragraph"/>
              <w:jc w:val="center"/>
              <w:textAlignment w:val="baseline"/>
              <w:rPr>
                <w:rFonts w:ascii="Arial" w:hAnsi="Arial" w:cs="Arial"/>
                <w:b/>
                <w:bCs/>
              </w:rPr>
            </w:pPr>
            <w:r w:rsidRPr="00C652FB">
              <w:rPr>
                <w:rFonts w:ascii="Arial" w:hAnsi="Arial" w:cs="Arial"/>
                <w:b/>
                <w:bCs/>
                <w:sz w:val="22"/>
                <w:szCs w:val="22"/>
              </w:rPr>
              <w:t>1</w:t>
            </w:r>
          </w:p>
        </w:tc>
      </w:tr>
      <w:tr w:rsidR="00C652FB" w:rsidRPr="004C6978" w14:paraId="16AEC65F" w14:textId="195AD6E4" w:rsidTr="00C652FB">
        <w:trPr>
          <w:trHeight w:val="360"/>
        </w:trPr>
        <w:tc>
          <w:tcPr>
            <w:tcW w:w="2405" w:type="dxa"/>
            <w:vMerge/>
            <w:hideMark/>
          </w:tcPr>
          <w:p w14:paraId="3172A849" w14:textId="77777777" w:rsidR="00C652FB" w:rsidRPr="004C6978" w:rsidRDefault="00C652FB" w:rsidP="00C652FB">
            <w:pPr>
              <w:pStyle w:val="paragraph"/>
              <w:textAlignment w:val="baseline"/>
              <w:rPr>
                <w:rFonts w:ascii="Arial" w:hAnsi="Arial" w:cs="Arial"/>
                <w:b/>
                <w:bCs/>
              </w:rPr>
            </w:pPr>
          </w:p>
        </w:tc>
        <w:tc>
          <w:tcPr>
            <w:tcW w:w="5528" w:type="dxa"/>
            <w:shd w:val="clear" w:color="auto" w:fill="auto"/>
            <w:vAlign w:val="center"/>
          </w:tcPr>
          <w:p w14:paraId="2AA46831" w14:textId="38141182" w:rsidR="00C652FB" w:rsidRPr="00C652FB" w:rsidRDefault="00C652FB" w:rsidP="00C652FB">
            <w:pPr>
              <w:pStyle w:val="paragraph"/>
              <w:textAlignment w:val="baseline"/>
              <w:rPr>
                <w:rFonts w:ascii="Arial" w:hAnsi="Arial" w:cs="Arial"/>
                <w:b/>
                <w:bCs/>
              </w:rPr>
            </w:pPr>
            <w:r w:rsidRPr="00C652FB">
              <w:rPr>
                <w:rFonts w:ascii="Arial" w:hAnsi="Arial" w:cs="Arial"/>
                <w:sz w:val="22"/>
                <w:szCs w:val="22"/>
              </w:rPr>
              <w:t>E23: Jobs safeguarded (numerical value)</w:t>
            </w:r>
          </w:p>
        </w:tc>
        <w:tc>
          <w:tcPr>
            <w:tcW w:w="1418" w:type="dxa"/>
            <w:shd w:val="clear" w:color="auto" w:fill="auto"/>
            <w:vAlign w:val="center"/>
          </w:tcPr>
          <w:p w14:paraId="4CF2A7D8" w14:textId="74F07121" w:rsidR="00C652FB" w:rsidRPr="00C652FB" w:rsidRDefault="00C652FB" w:rsidP="006A3998">
            <w:pPr>
              <w:pStyle w:val="paragraph"/>
              <w:jc w:val="center"/>
              <w:textAlignment w:val="baseline"/>
              <w:rPr>
                <w:rFonts w:ascii="Arial" w:hAnsi="Arial" w:cs="Arial"/>
                <w:b/>
                <w:bCs/>
              </w:rPr>
            </w:pPr>
            <w:r w:rsidRPr="00C652FB">
              <w:rPr>
                <w:rFonts w:ascii="Arial" w:hAnsi="Arial" w:cs="Arial"/>
                <w:b/>
                <w:bCs/>
                <w:sz w:val="22"/>
                <w:szCs w:val="22"/>
              </w:rPr>
              <w:t>1</w:t>
            </w:r>
          </w:p>
        </w:tc>
      </w:tr>
      <w:tr w:rsidR="00C652FB" w:rsidRPr="004C6978" w14:paraId="70AA74C4" w14:textId="548117F6" w:rsidTr="00C652FB">
        <w:trPr>
          <w:trHeight w:val="360"/>
        </w:trPr>
        <w:tc>
          <w:tcPr>
            <w:tcW w:w="2405" w:type="dxa"/>
            <w:vMerge/>
            <w:hideMark/>
          </w:tcPr>
          <w:p w14:paraId="7E1116F3" w14:textId="77777777" w:rsidR="00C652FB" w:rsidRPr="004C6978" w:rsidRDefault="00C652FB" w:rsidP="00C652FB">
            <w:pPr>
              <w:pStyle w:val="paragraph"/>
              <w:textAlignment w:val="baseline"/>
              <w:rPr>
                <w:rFonts w:ascii="Arial" w:hAnsi="Arial" w:cs="Arial"/>
                <w:b/>
                <w:bCs/>
              </w:rPr>
            </w:pPr>
          </w:p>
        </w:tc>
        <w:tc>
          <w:tcPr>
            <w:tcW w:w="5528" w:type="dxa"/>
            <w:shd w:val="clear" w:color="auto" w:fill="auto"/>
            <w:vAlign w:val="center"/>
          </w:tcPr>
          <w:p w14:paraId="3C83D9F4" w14:textId="1B21401C" w:rsidR="00C652FB" w:rsidRPr="00C652FB" w:rsidRDefault="00C652FB" w:rsidP="00C652FB">
            <w:pPr>
              <w:pStyle w:val="paragraph"/>
              <w:textAlignment w:val="baseline"/>
              <w:rPr>
                <w:rFonts w:ascii="Arial" w:hAnsi="Arial" w:cs="Arial"/>
                <w:b/>
                <w:bCs/>
              </w:rPr>
            </w:pPr>
            <w:r w:rsidRPr="00C652FB">
              <w:rPr>
                <w:rFonts w:ascii="Arial" w:hAnsi="Arial" w:cs="Arial"/>
                <w:sz w:val="22"/>
                <w:szCs w:val="22"/>
              </w:rPr>
              <w:t xml:space="preserve">E23: Number of enterprises adopting new or improved products or services (numerical value) </w:t>
            </w:r>
          </w:p>
        </w:tc>
        <w:tc>
          <w:tcPr>
            <w:tcW w:w="1418" w:type="dxa"/>
            <w:shd w:val="clear" w:color="auto" w:fill="auto"/>
            <w:vAlign w:val="center"/>
          </w:tcPr>
          <w:p w14:paraId="77811E57" w14:textId="65A5342F" w:rsidR="00C652FB" w:rsidRPr="00C652FB" w:rsidRDefault="00C652FB" w:rsidP="006A3998">
            <w:pPr>
              <w:pStyle w:val="paragraph"/>
              <w:jc w:val="center"/>
              <w:textAlignment w:val="baseline"/>
              <w:rPr>
                <w:rFonts w:ascii="Arial" w:hAnsi="Arial" w:cs="Arial"/>
                <w:b/>
                <w:bCs/>
              </w:rPr>
            </w:pPr>
            <w:r w:rsidRPr="00C652FB">
              <w:rPr>
                <w:rFonts w:ascii="Arial" w:hAnsi="Arial" w:cs="Arial"/>
                <w:b/>
                <w:bCs/>
                <w:sz w:val="22"/>
                <w:szCs w:val="22"/>
              </w:rPr>
              <w:t>10</w:t>
            </w:r>
          </w:p>
        </w:tc>
      </w:tr>
    </w:tbl>
    <w:p w14:paraId="36AAB098" w14:textId="77777777" w:rsidR="004C6978" w:rsidRDefault="004C6978" w:rsidP="00330832">
      <w:pPr>
        <w:pStyle w:val="paragraph"/>
        <w:spacing w:before="0" w:beforeAutospacing="0" w:after="0" w:afterAutospacing="0"/>
        <w:textAlignment w:val="baseline"/>
        <w:rPr>
          <w:rFonts w:ascii="Segoe UI" w:hAnsi="Segoe UI" w:cs="Segoe UI"/>
          <w:sz w:val="18"/>
          <w:szCs w:val="18"/>
        </w:rPr>
      </w:pPr>
    </w:p>
    <w:p w14:paraId="482D5093" w14:textId="06894D7A" w:rsidR="00333FAA" w:rsidRPr="00880213" w:rsidRDefault="00333FAA" w:rsidP="0054590F">
      <w:pPr>
        <w:pStyle w:val="Heading4"/>
        <w:rPr>
          <w:szCs w:val="24"/>
        </w:rPr>
      </w:pPr>
      <w:r w:rsidRPr="00880213">
        <w:rPr>
          <w:szCs w:val="24"/>
        </w:rPr>
        <w:t>Environmental Implications</w:t>
      </w:r>
    </w:p>
    <w:p w14:paraId="19BADB8B" w14:textId="77777777" w:rsidR="00A97168" w:rsidRDefault="000A68B1" w:rsidP="00330832">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The </w:t>
      </w:r>
      <w:r w:rsidRPr="000A68B1">
        <w:rPr>
          <w:rStyle w:val="eop"/>
          <w:rFonts w:ascii="Arial" w:hAnsi="Arial" w:cs="Arial"/>
        </w:rPr>
        <w:t xml:space="preserve">Support </w:t>
      </w:r>
      <w:r w:rsidR="00094DE6">
        <w:rPr>
          <w:rStyle w:val="eop"/>
          <w:rFonts w:ascii="Arial" w:hAnsi="Arial" w:cs="Arial"/>
        </w:rPr>
        <w:t>t</w:t>
      </w:r>
      <w:r w:rsidR="00094DE6" w:rsidRPr="000A68B1">
        <w:rPr>
          <w:rStyle w:val="eop"/>
          <w:rFonts w:ascii="Arial" w:hAnsi="Arial" w:cs="Arial"/>
        </w:rPr>
        <w:t xml:space="preserve">o Parks </w:t>
      </w:r>
      <w:r w:rsidR="00094DE6">
        <w:rPr>
          <w:rStyle w:val="eop"/>
          <w:rFonts w:ascii="Arial" w:hAnsi="Arial" w:cs="Arial"/>
        </w:rPr>
        <w:t>a</w:t>
      </w:r>
      <w:r w:rsidR="00094DE6" w:rsidRPr="000A68B1">
        <w:rPr>
          <w:rStyle w:val="eop"/>
          <w:rFonts w:ascii="Arial" w:hAnsi="Arial" w:cs="Arial"/>
        </w:rPr>
        <w:t>nd Open Spaces</w:t>
      </w:r>
      <w:r w:rsidR="00094DE6">
        <w:rPr>
          <w:rStyle w:val="eop"/>
          <w:rFonts w:ascii="Arial" w:hAnsi="Arial" w:cs="Arial"/>
        </w:rPr>
        <w:t xml:space="preserve"> </w:t>
      </w:r>
      <w:r w:rsidR="00EC3646">
        <w:rPr>
          <w:rStyle w:val="eop"/>
          <w:rFonts w:ascii="Arial" w:hAnsi="Arial" w:cs="Arial"/>
        </w:rPr>
        <w:t xml:space="preserve">project and the </w:t>
      </w:r>
      <w:r w:rsidR="00EC3646" w:rsidRPr="00EC3646">
        <w:rPr>
          <w:rStyle w:val="eop"/>
          <w:rFonts w:ascii="Arial" w:hAnsi="Arial" w:cs="Arial"/>
        </w:rPr>
        <w:t xml:space="preserve">Energy </w:t>
      </w:r>
      <w:r w:rsidR="00094DE6" w:rsidRPr="00EC3646">
        <w:rPr>
          <w:rStyle w:val="eop"/>
          <w:rFonts w:ascii="Arial" w:hAnsi="Arial" w:cs="Arial"/>
        </w:rPr>
        <w:t xml:space="preserve">Advice &amp; Cost </w:t>
      </w:r>
      <w:r w:rsidR="00094DE6">
        <w:rPr>
          <w:rStyle w:val="eop"/>
          <w:rFonts w:ascii="Arial" w:hAnsi="Arial" w:cs="Arial"/>
        </w:rPr>
        <w:t>o</w:t>
      </w:r>
      <w:r w:rsidR="00094DE6" w:rsidRPr="00EC3646">
        <w:rPr>
          <w:rStyle w:val="eop"/>
          <w:rFonts w:ascii="Arial" w:hAnsi="Arial" w:cs="Arial"/>
        </w:rPr>
        <w:t>f Living Project</w:t>
      </w:r>
      <w:r w:rsidR="00094DE6">
        <w:rPr>
          <w:rStyle w:val="eop"/>
          <w:rFonts w:ascii="Arial" w:hAnsi="Arial" w:cs="Arial"/>
        </w:rPr>
        <w:t xml:space="preserve"> </w:t>
      </w:r>
      <w:r w:rsidR="00EC3646">
        <w:rPr>
          <w:rStyle w:val="eop"/>
          <w:rFonts w:ascii="Arial" w:hAnsi="Arial" w:cs="Arial"/>
        </w:rPr>
        <w:t xml:space="preserve">will support the </w:t>
      </w:r>
      <w:r w:rsidR="003A1E9A">
        <w:rPr>
          <w:rStyle w:val="eop"/>
          <w:rFonts w:ascii="Arial" w:hAnsi="Arial" w:cs="Arial"/>
        </w:rPr>
        <w:t xml:space="preserve">Council’s climate change strategy by </w:t>
      </w:r>
      <w:r w:rsidR="005C21F2" w:rsidRPr="005C21F2">
        <w:rPr>
          <w:rStyle w:val="eop"/>
          <w:rFonts w:ascii="Arial" w:hAnsi="Arial" w:cs="Arial"/>
        </w:rPr>
        <w:t>creat</w:t>
      </w:r>
      <w:r w:rsidR="005C21F2">
        <w:rPr>
          <w:rStyle w:val="eop"/>
          <w:rFonts w:ascii="Arial" w:hAnsi="Arial" w:cs="Arial"/>
        </w:rPr>
        <w:t>ing</w:t>
      </w:r>
      <w:r w:rsidR="00094DE6">
        <w:rPr>
          <w:rStyle w:val="eop"/>
          <w:rFonts w:ascii="Arial" w:hAnsi="Arial" w:cs="Arial"/>
        </w:rPr>
        <w:t xml:space="preserve"> and/or</w:t>
      </w:r>
      <w:r w:rsidR="005C21F2" w:rsidRPr="005C21F2">
        <w:rPr>
          <w:rStyle w:val="eop"/>
          <w:rFonts w:ascii="Arial" w:hAnsi="Arial" w:cs="Arial"/>
        </w:rPr>
        <w:t xml:space="preserve"> enhanc</w:t>
      </w:r>
      <w:r w:rsidR="005C21F2">
        <w:rPr>
          <w:rStyle w:val="eop"/>
          <w:rFonts w:ascii="Arial" w:hAnsi="Arial" w:cs="Arial"/>
        </w:rPr>
        <w:t>ing</w:t>
      </w:r>
      <w:r w:rsidR="005C21F2" w:rsidRPr="005C21F2">
        <w:rPr>
          <w:rStyle w:val="eop"/>
          <w:rFonts w:ascii="Arial" w:hAnsi="Arial" w:cs="Arial"/>
        </w:rPr>
        <w:t xml:space="preserve"> grassland, woodland, wetland and other habitats in public green spaces</w:t>
      </w:r>
      <w:r w:rsidR="00094DE6">
        <w:rPr>
          <w:rStyle w:val="eop"/>
          <w:rFonts w:ascii="Arial" w:hAnsi="Arial" w:cs="Arial"/>
        </w:rPr>
        <w:t>, and by helping residents reduce their energy consumption.</w:t>
      </w:r>
    </w:p>
    <w:p w14:paraId="3BEA1B77" w14:textId="77777777" w:rsidR="00796DA9" w:rsidRDefault="00796DA9" w:rsidP="00330832">
      <w:pPr>
        <w:pStyle w:val="paragraph"/>
        <w:spacing w:before="0" w:beforeAutospacing="0" w:after="0" w:afterAutospacing="0"/>
        <w:textAlignment w:val="baseline"/>
        <w:rPr>
          <w:rFonts w:ascii="Arial" w:hAnsi="Arial" w:cs="Arial"/>
        </w:rPr>
      </w:pPr>
    </w:p>
    <w:p w14:paraId="17CAB9F6" w14:textId="2A7093FD" w:rsidR="00F0200F" w:rsidRPr="00A97168" w:rsidRDefault="00A97168" w:rsidP="00330832">
      <w:pPr>
        <w:pStyle w:val="paragraph"/>
        <w:spacing w:before="0" w:beforeAutospacing="0" w:after="0" w:afterAutospacing="0"/>
        <w:textAlignment w:val="baseline"/>
        <w:rPr>
          <w:rFonts w:ascii="Arial" w:hAnsi="Arial" w:cs="Arial"/>
        </w:rPr>
      </w:pPr>
      <w:r w:rsidRPr="00BB2CC9">
        <w:rPr>
          <w:rFonts w:ascii="Arial" w:hAnsi="Arial" w:cs="Arial"/>
        </w:rPr>
        <w:t xml:space="preserve">The Reuse Laptop and Mobile Phones Start Up Kit Project will </w:t>
      </w:r>
      <w:r w:rsidR="007F72B0" w:rsidRPr="00BB2CC9">
        <w:rPr>
          <w:rFonts w:ascii="Arial" w:hAnsi="Arial" w:cs="Arial"/>
        </w:rPr>
        <w:t xml:space="preserve">reduce the number of laptops and mobile phones being </w:t>
      </w:r>
      <w:r w:rsidR="00B9376D" w:rsidRPr="00BB2CC9">
        <w:rPr>
          <w:rFonts w:ascii="Arial" w:hAnsi="Arial" w:cs="Arial"/>
        </w:rPr>
        <w:t>discarded</w:t>
      </w:r>
      <w:r w:rsidR="00BB2CC9" w:rsidRPr="00BB2CC9">
        <w:rPr>
          <w:rFonts w:ascii="Arial" w:hAnsi="Arial" w:cs="Arial"/>
        </w:rPr>
        <w:t>.</w:t>
      </w:r>
    </w:p>
    <w:p w14:paraId="725E999E" w14:textId="5CB1BD69" w:rsidR="000929A6" w:rsidRPr="00880213" w:rsidRDefault="000929A6" w:rsidP="001472A8">
      <w:pPr>
        <w:rPr>
          <w:iCs/>
        </w:rPr>
      </w:pPr>
    </w:p>
    <w:p w14:paraId="31409836" w14:textId="77777777" w:rsidR="002A3FEF" w:rsidRPr="00880213" w:rsidRDefault="002A3FEF" w:rsidP="002A3FEF">
      <w:pPr>
        <w:pStyle w:val="Heading4"/>
        <w:rPr>
          <w:szCs w:val="24"/>
        </w:rPr>
      </w:pPr>
      <w:r w:rsidRPr="00880213">
        <w:rPr>
          <w:szCs w:val="24"/>
        </w:rPr>
        <w:t>Dat</w:t>
      </w:r>
      <w:r w:rsidR="00DE72CF" w:rsidRPr="00880213">
        <w:rPr>
          <w:szCs w:val="24"/>
        </w:rPr>
        <w:t>a</w:t>
      </w:r>
      <w:r w:rsidRPr="00880213">
        <w:rPr>
          <w:szCs w:val="24"/>
        </w:rPr>
        <w:t xml:space="preserve"> Protection Implications</w:t>
      </w:r>
    </w:p>
    <w:p w14:paraId="4B504E2D" w14:textId="0A36BE6A" w:rsidR="00A62C56" w:rsidRPr="00B9376D" w:rsidRDefault="00D208AD" w:rsidP="00B9376D">
      <w:pPr>
        <w:rPr>
          <w:color w:val="0000FF"/>
        </w:rPr>
      </w:pPr>
      <w:r w:rsidRPr="00D208AD">
        <w:rPr>
          <w:rStyle w:val="eop"/>
          <w:rFonts w:cs="Arial"/>
        </w:rPr>
        <w:t xml:space="preserve">Data Protection </w:t>
      </w:r>
      <w:r w:rsidR="003E06AE">
        <w:rPr>
          <w:rStyle w:val="eop"/>
          <w:rFonts w:cs="Arial"/>
        </w:rPr>
        <w:t>i</w:t>
      </w:r>
      <w:r w:rsidRPr="00D208AD">
        <w:rPr>
          <w:rStyle w:val="eop"/>
          <w:rFonts w:cs="Arial"/>
        </w:rPr>
        <w:t xml:space="preserve">mplications will be considered at the project delivery stage for each project. </w:t>
      </w:r>
      <w:r w:rsidR="008F48D8">
        <w:rPr>
          <w:rStyle w:val="eop"/>
          <w:rFonts w:cs="Arial"/>
        </w:rPr>
        <w:t xml:space="preserve">Processes are already in place for the </w:t>
      </w:r>
      <w:r w:rsidR="00681651">
        <w:rPr>
          <w:rStyle w:val="eop"/>
          <w:rFonts w:cs="Arial"/>
        </w:rPr>
        <w:t xml:space="preserve">Volunteering and Business Support programmes. </w:t>
      </w:r>
    </w:p>
    <w:p w14:paraId="75284416" w14:textId="1002A45A" w:rsidR="00A81E19" w:rsidRDefault="00A81E19" w:rsidP="00A1211C">
      <w:pPr>
        <w:pStyle w:val="Heading3"/>
        <w:spacing w:before="480" w:after="240"/>
      </w:pPr>
      <w:r>
        <w:t>Risk Management Implications</w:t>
      </w:r>
    </w:p>
    <w:p w14:paraId="0B289C2F" w14:textId="1FB819AE" w:rsidR="00C53F1A" w:rsidRPr="00105B8A" w:rsidRDefault="00C53F1A" w:rsidP="00105B8A">
      <w:pPr>
        <w:tabs>
          <w:tab w:val="left" w:pos="5610"/>
        </w:tabs>
        <w:ind w:right="81"/>
        <w:rPr>
          <w:color w:val="0000FF"/>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No</w:t>
      </w:r>
    </w:p>
    <w:p w14:paraId="1A848C3E" w14:textId="77777777" w:rsidR="00880213" w:rsidRDefault="00880213" w:rsidP="00105B8A">
      <w:pPr>
        <w:ind w:left="-142" w:right="141" w:firstLine="142"/>
        <w:rPr>
          <w:rFonts w:cs="Arial"/>
          <w:szCs w:val="24"/>
          <w:lang w:val="en-US" w:eastAsia="en-GB"/>
        </w:rPr>
      </w:pPr>
    </w:p>
    <w:p w14:paraId="5455C8B2" w14:textId="1650AFCF" w:rsidR="009F7F91" w:rsidRPr="00913A8B" w:rsidRDefault="00C53F1A" w:rsidP="009F7F91">
      <w:pPr>
        <w:ind w:right="141"/>
        <w:rPr>
          <w:rFonts w:cs="Arial"/>
          <w:color w:val="4F81BD" w:themeColor="accent1"/>
          <w:szCs w:val="24"/>
          <w:lang w:val="en-US" w:eastAsia="en-GB"/>
        </w:rPr>
      </w:pPr>
      <w:r>
        <w:rPr>
          <w:rFonts w:cs="Arial"/>
          <w:szCs w:val="24"/>
          <w:lang w:val="en-US" w:eastAsia="en-GB"/>
        </w:rPr>
        <w:t xml:space="preserve">Separate risk register in place? </w:t>
      </w:r>
      <w:r w:rsidR="009F7F91" w:rsidRPr="009F7F91">
        <w:rPr>
          <w:rFonts w:cs="Arial"/>
          <w:szCs w:val="24"/>
          <w:lang w:val="en-US" w:eastAsia="en-GB"/>
        </w:rPr>
        <w:t xml:space="preserve"> </w:t>
      </w:r>
      <w:r w:rsidR="009F7F91" w:rsidRPr="009F7F91">
        <w:rPr>
          <w:rFonts w:cs="Arial"/>
          <w:b/>
          <w:bCs/>
          <w:szCs w:val="24"/>
          <w:lang w:val="en-US" w:eastAsia="en-GB"/>
        </w:rPr>
        <w:t>No</w:t>
      </w:r>
      <w:r w:rsidR="009F7F91" w:rsidRPr="00913A8B">
        <w:rPr>
          <w:rFonts w:cs="Arial"/>
          <w:szCs w:val="24"/>
          <w:lang w:val="en-US" w:eastAsia="en-GB"/>
        </w:rPr>
        <w:t xml:space="preserve"> but </w:t>
      </w:r>
      <w:r w:rsidR="00524386">
        <w:rPr>
          <w:rFonts w:cs="Arial"/>
          <w:szCs w:val="24"/>
          <w:lang w:val="en-US" w:eastAsia="en-GB"/>
        </w:rPr>
        <w:t>separate risk registers</w:t>
      </w:r>
      <w:r w:rsidR="009F7F91" w:rsidRPr="00913A8B">
        <w:rPr>
          <w:rFonts w:cs="Arial"/>
          <w:szCs w:val="24"/>
          <w:lang w:val="en-US" w:eastAsia="en-GB"/>
        </w:rPr>
        <w:t xml:space="preserve"> will be developed</w:t>
      </w:r>
      <w:r w:rsidR="009F7F91">
        <w:rPr>
          <w:rFonts w:cs="Arial"/>
          <w:b/>
          <w:bCs/>
          <w:szCs w:val="24"/>
          <w:lang w:val="en-US" w:eastAsia="en-GB"/>
        </w:rPr>
        <w:t xml:space="preserve"> </w:t>
      </w:r>
      <w:r w:rsidR="009F7F91" w:rsidRPr="00913A8B">
        <w:rPr>
          <w:rFonts w:cs="Arial"/>
          <w:szCs w:val="24"/>
          <w:lang w:val="en-US" w:eastAsia="en-GB"/>
        </w:rPr>
        <w:t xml:space="preserve">for each project </w:t>
      </w:r>
    </w:p>
    <w:p w14:paraId="72B374FF" w14:textId="77777777" w:rsidR="00C53F1A" w:rsidRDefault="00C53F1A" w:rsidP="00105B8A">
      <w:pPr>
        <w:tabs>
          <w:tab w:val="left" w:pos="5610"/>
        </w:tabs>
        <w:ind w:left="567" w:right="81" w:hanging="567"/>
      </w:pPr>
    </w:p>
    <w:p w14:paraId="2E054B04" w14:textId="0AD65863"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w:t>
      </w:r>
      <w:r w:rsidR="00DD53E0">
        <w:rPr>
          <w:rFonts w:cs="Arial"/>
          <w:b/>
          <w:bCs/>
          <w:szCs w:val="24"/>
          <w:lang w:val="en-US" w:eastAsia="en-GB"/>
        </w:rPr>
        <w:t>s</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176A48FD" w14:textId="77777777" w:rsidR="00524386" w:rsidRDefault="00524386" w:rsidP="00105B8A"/>
    <w:tbl>
      <w:tblPr>
        <w:tblW w:w="8642"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964"/>
        <w:gridCol w:w="3402"/>
        <w:gridCol w:w="1264"/>
        <w:gridCol w:w="12"/>
      </w:tblGrid>
      <w:tr w:rsidR="008D5FB3" w14:paraId="0F6F8000" w14:textId="77777777" w:rsidTr="00BE7A34">
        <w:trPr>
          <w:gridAfter w:val="1"/>
          <w:wAfter w:w="12" w:type="dxa"/>
          <w:trHeight w:val="448"/>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20B2FCFA" w14:textId="77777777" w:rsidR="008D5FB3" w:rsidRDefault="008D5FB3" w:rsidP="007547A7">
            <w:pPr>
              <w:spacing w:line="247" w:lineRule="auto"/>
              <w:ind w:right="141"/>
              <w:rPr>
                <w:rFonts w:cs="Arial"/>
                <w:b/>
                <w:bCs/>
                <w:szCs w:val="24"/>
                <w:lang w:val="en-US" w:eastAsia="en-GB"/>
              </w:rPr>
            </w:pPr>
            <w:r>
              <w:rPr>
                <w:rFonts w:cs="Arial"/>
                <w:b/>
                <w:bCs/>
                <w:szCs w:val="24"/>
                <w:lang w:val="en-US" w:eastAsia="en-GB"/>
              </w:rPr>
              <w:t>Risk Description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0D9FCDFA" w14:textId="77777777" w:rsidR="008D5FB3" w:rsidRDefault="008D5FB3" w:rsidP="007547A7">
            <w:pPr>
              <w:spacing w:line="247" w:lineRule="auto"/>
              <w:ind w:right="141"/>
              <w:rPr>
                <w:rFonts w:cs="Arial"/>
                <w:b/>
                <w:bCs/>
                <w:szCs w:val="24"/>
                <w:lang w:val="en-US" w:eastAsia="en-GB"/>
              </w:rPr>
            </w:pPr>
            <w:r>
              <w:rPr>
                <w:rFonts w:cs="Arial"/>
                <w:b/>
                <w:bCs/>
                <w:szCs w:val="24"/>
                <w:lang w:val="en-US" w:eastAsia="en-GB"/>
              </w:rPr>
              <w:t>Mitigations</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6ADAA6A" w14:textId="77777777" w:rsidR="008D5FB3" w:rsidRDefault="008D5FB3" w:rsidP="007547A7">
            <w:pPr>
              <w:spacing w:line="247" w:lineRule="auto"/>
              <w:ind w:left="171" w:right="141"/>
              <w:rPr>
                <w:rFonts w:cs="Arial"/>
                <w:b/>
                <w:bCs/>
                <w:szCs w:val="24"/>
                <w:lang w:val="en-US" w:eastAsia="en-GB"/>
              </w:rPr>
            </w:pPr>
            <w:r>
              <w:rPr>
                <w:rFonts w:cs="Arial"/>
                <w:b/>
                <w:bCs/>
                <w:szCs w:val="24"/>
                <w:lang w:val="en-US" w:eastAsia="en-GB"/>
              </w:rPr>
              <w:t>RAG Status</w:t>
            </w:r>
          </w:p>
        </w:tc>
      </w:tr>
      <w:tr w:rsidR="008D5FB3" w:rsidRPr="00BE2E24" w14:paraId="401A8F59" w14:textId="77777777" w:rsidTr="6B9560E0">
        <w:tc>
          <w:tcPr>
            <w:tcW w:w="86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38E2B29" w14:textId="77777777" w:rsidR="008D5FB3" w:rsidRPr="00BE2E24" w:rsidRDefault="008D5FB3" w:rsidP="007547A7">
            <w:pPr>
              <w:spacing w:line="247" w:lineRule="auto"/>
              <w:ind w:right="141"/>
              <w:rPr>
                <w:rFonts w:cs="Arial"/>
                <w:b/>
                <w:bCs/>
                <w:szCs w:val="24"/>
                <w:lang w:val="en-US" w:eastAsia="en-GB"/>
              </w:rPr>
            </w:pPr>
            <w:r w:rsidRPr="00BE2E24">
              <w:rPr>
                <w:rFonts w:cs="Arial"/>
                <w:b/>
                <w:bCs/>
                <w:szCs w:val="24"/>
                <w:lang w:val="en-US" w:eastAsia="en-GB"/>
              </w:rPr>
              <w:t>Risks related to entering into the UKSPF Funding Agreement with the GLA</w:t>
            </w:r>
          </w:p>
        </w:tc>
      </w:tr>
      <w:tr w:rsidR="008D5FB3" w:rsidRPr="003F0FC7" w14:paraId="68643255" w14:textId="77777777" w:rsidTr="6B9560E0">
        <w:trPr>
          <w:gridAfter w:val="1"/>
          <w:wAfter w:w="12"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FA1FCC" w14:textId="77777777" w:rsidR="008D5FB3" w:rsidRPr="001F6604" w:rsidRDefault="008D5FB3" w:rsidP="007547A7">
            <w:pPr>
              <w:pStyle w:val="CommentText"/>
              <w:rPr>
                <w:sz w:val="24"/>
                <w:szCs w:val="24"/>
              </w:rPr>
            </w:pPr>
            <w:r w:rsidRPr="001F6604">
              <w:rPr>
                <w:sz w:val="24"/>
                <w:szCs w:val="24"/>
              </w:rPr>
              <w:t xml:space="preserve">If the recommendations in the report are not agreed the Council would not receive the £1.4m funding from the UKSPF and would be unable to deliver the projects identified or seek to maximise its grant funding during FYs 2022/23, 2023/24 and 2024/25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A2C679" w14:textId="77777777" w:rsidR="008D5FB3" w:rsidRPr="001F6604" w:rsidRDefault="008D5FB3" w:rsidP="007547A7">
            <w:pPr>
              <w:pStyle w:val="ListParagraph"/>
              <w:numPr>
                <w:ilvl w:val="0"/>
                <w:numId w:val="16"/>
              </w:numPr>
              <w:suppressAutoHyphens/>
              <w:autoSpaceDN w:val="0"/>
              <w:spacing w:line="247" w:lineRule="auto"/>
              <w:ind w:left="164" w:right="141" w:hanging="164"/>
              <w:rPr>
                <w:szCs w:val="24"/>
                <w:lang w:val="en-US"/>
              </w:rPr>
            </w:pPr>
            <w:r w:rsidRPr="001F6604">
              <w:rPr>
                <w:szCs w:val="24"/>
                <w:lang w:val="en-US"/>
              </w:rPr>
              <w:t xml:space="preserve">Acceptance of the report’s recommendations will fully mitigate this risk </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AA50957"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rsidRPr="003F0FC7" w14:paraId="53FFB531" w14:textId="77777777" w:rsidTr="6B9560E0">
        <w:trPr>
          <w:gridAfter w:val="1"/>
          <w:wAfter w:w="12" w:type="dxa"/>
          <w:trHeight w:val="3710"/>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EBDE03" w14:textId="77777777" w:rsidR="008D5FB3" w:rsidRPr="00443499" w:rsidRDefault="008D5FB3" w:rsidP="007547A7">
            <w:pPr>
              <w:pStyle w:val="CommentText"/>
              <w:rPr>
                <w:sz w:val="24"/>
                <w:szCs w:val="24"/>
              </w:rPr>
            </w:pPr>
            <w:r w:rsidRPr="00443499">
              <w:rPr>
                <w:sz w:val="24"/>
                <w:szCs w:val="24"/>
              </w:rPr>
              <w:t xml:space="preserve">Better and more deserving projects in the borough have not been selected to receive the UKSPF funding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B111F4" w14:textId="77777777" w:rsidR="008D5FB3" w:rsidRPr="00443499" w:rsidRDefault="008D5FB3" w:rsidP="007547A7">
            <w:pPr>
              <w:pStyle w:val="ListParagraph"/>
              <w:numPr>
                <w:ilvl w:val="0"/>
                <w:numId w:val="16"/>
              </w:numPr>
              <w:suppressAutoHyphens/>
              <w:autoSpaceDN w:val="0"/>
              <w:spacing w:line="247" w:lineRule="auto"/>
              <w:ind w:left="164" w:right="141" w:hanging="164"/>
              <w:rPr>
                <w:szCs w:val="24"/>
                <w:lang w:val="en-US"/>
              </w:rPr>
            </w:pPr>
            <w:r w:rsidRPr="00443499">
              <w:rPr>
                <w:szCs w:val="24"/>
                <w:lang w:val="en-US"/>
              </w:rPr>
              <w:t xml:space="preserve">Extensive consultation was undertaken with key stakeholders to identify the projects for the funding, including members of the Harrow Business Forum, </w:t>
            </w:r>
            <w:r>
              <w:rPr>
                <w:szCs w:val="24"/>
                <w:lang w:val="en-US"/>
              </w:rPr>
              <w:t>t</w:t>
            </w:r>
            <w:r w:rsidRPr="00443499">
              <w:t>rad</w:t>
            </w:r>
            <w:r>
              <w:t xml:space="preserve">ing </w:t>
            </w:r>
            <w:r w:rsidRPr="00443499">
              <w:t xml:space="preserve">associations, Park User Groups, the </w:t>
            </w:r>
            <w:r w:rsidRPr="00443499">
              <w:rPr>
                <w:rFonts w:eastAsia="Calibri" w:cs="Arial"/>
              </w:rPr>
              <w:t xml:space="preserve">West London Energy Officers’ Group and the West London consortium retrofit delivery model. </w:t>
            </w:r>
          </w:p>
          <w:p w14:paraId="010A7099" w14:textId="77777777" w:rsidR="008D5FB3" w:rsidRPr="00443499" w:rsidRDefault="008D5FB3" w:rsidP="007547A7">
            <w:pPr>
              <w:suppressAutoHyphens/>
              <w:autoSpaceDN w:val="0"/>
              <w:spacing w:line="247" w:lineRule="auto"/>
              <w:ind w:right="141"/>
              <w:rPr>
                <w:szCs w:val="24"/>
                <w:lang w:val="en-US"/>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88E3E7B"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2B643C80" w14:textId="77777777" w:rsidTr="6B9560E0">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D6EE94" w14:textId="77777777" w:rsidR="008D5FB3" w:rsidRPr="00514AFB" w:rsidRDefault="008D5FB3" w:rsidP="007547A7">
            <w:pPr>
              <w:pStyle w:val="CommentText"/>
            </w:pPr>
            <w:r w:rsidRPr="00514AFB">
              <w:rPr>
                <w:sz w:val="24"/>
                <w:szCs w:val="24"/>
              </w:rPr>
              <w:t>The Council does not fully comply with the terms and conditions of GLA funding from the UK Shared Prosperity Fund, for example in regard to the grant review and claims process, leading to funding being delayed, withheld or ceasing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8B5E49" w14:textId="77777777" w:rsidR="008D5FB3" w:rsidRPr="00713B50" w:rsidRDefault="008D5FB3" w:rsidP="007547A7">
            <w:pPr>
              <w:pStyle w:val="ListParagraph"/>
              <w:numPr>
                <w:ilvl w:val="0"/>
                <w:numId w:val="16"/>
              </w:numPr>
              <w:suppressAutoHyphens/>
              <w:autoSpaceDN w:val="0"/>
              <w:spacing w:line="247" w:lineRule="auto"/>
              <w:ind w:left="164" w:right="141" w:hanging="164"/>
              <w:rPr>
                <w:color w:val="FF0000"/>
                <w:szCs w:val="24"/>
                <w:lang w:val="en-US"/>
              </w:rPr>
            </w:pPr>
            <w:r w:rsidRPr="00514AFB">
              <w:rPr>
                <w:szCs w:val="24"/>
                <w:lang w:val="en-US"/>
              </w:rPr>
              <w:t xml:space="preserve">Programme Manager appointed as a dedicated officer to oversee this process including stringent internal financial management processes and regime </w:t>
            </w:r>
            <w:r>
              <w:rPr>
                <w:szCs w:val="24"/>
                <w:lang w:val="en-US"/>
              </w:rPr>
              <w:t xml:space="preserve">by the finance directorate </w:t>
            </w:r>
          </w:p>
          <w:p w14:paraId="78ACEB09" w14:textId="77777777" w:rsidR="008D5FB3" w:rsidRPr="00514AFB" w:rsidRDefault="008D5FB3" w:rsidP="007547A7">
            <w:pPr>
              <w:pStyle w:val="ListParagraph"/>
              <w:numPr>
                <w:ilvl w:val="0"/>
                <w:numId w:val="16"/>
              </w:numPr>
              <w:suppressAutoHyphens/>
              <w:autoSpaceDN w:val="0"/>
              <w:spacing w:line="247" w:lineRule="auto"/>
              <w:ind w:left="164" w:right="141" w:hanging="164"/>
              <w:rPr>
                <w:szCs w:val="24"/>
                <w:lang w:val="en-US"/>
              </w:rPr>
            </w:pPr>
            <w:r w:rsidRPr="00514AFB">
              <w:rPr>
                <w:szCs w:val="24"/>
                <w:lang w:val="en-US"/>
              </w:rPr>
              <w:t xml:space="preserve">Guidelines have been issued by the GLA on compliance which we are following closely </w:t>
            </w:r>
          </w:p>
          <w:p w14:paraId="1CC1B447" w14:textId="77777777" w:rsidR="008D5FB3" w:rsidRPr="00514AFB" w:rsidRDefault="008D5FB3" w:rsidP="007547A7">
            <w:pPr>
              <w:pStyle w:val="ListParagraph"/>
              <w:numPr>
                <w:ilvl w:val="0"/>
                <w:numId w:val="16"/>
              </w:numPr>
              <w:suppressAutoHyphens/>
              <w:autoSpaceDN w:val="0"/>
              <w:spacing w:line="247" w:lineRule="auto"/>
              <w:ind w:left="164" w:right="141" w:hanging="164"/>
              <w:rPr>
                <w:szCs w:val="24"/>
                <w:lang w:val="en-US"/>
              </w:rPr>
            </w:pPr>
            <w:r w:rsidRPr="00514AFB">
              <w:rPr>
                <w:szCs w:val="24"/>
                <w:lang w:val="en-US"/>
              </w:rPr>
              <w:t xml:space="preserve">Any issues would be escalated to Director-level </w:t>
            </w:r>
          </w:p>
          <w:p w14:paraId="4E2DD2F2" w14:textId="77777777" w:rsidR="008D5FB3" w:rsidRPr="00514AFB" w:rsidRDefault="008D5FB3" w:rsidP="007547A7">
            <w:pPr>
              <w:suppressAutoHyphens/>
              <w:autoSpaceDN w:val="0"/>
              <w:spacing w:line="247" w:lineRule="auto"/>
              <w:ind w:right="141"/>
              <w:rPr>
                <w:szCs w:val="24"/>
                <w:lang w:val="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F026EDF"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375448D8" w14:textId="77777777" w:rsidTr="6B9560E0">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71CC06" w14:textId="77777777" w:rsidR="008D5FB3" w:rsidRPr="00713B50" w:rsidRDefault="008D5FB3" w:rsidP="007547A7">
            <w:pPr>
              <w:pStyle w:val="CommentText"/>
              <w:rPr>
                <w:sz w:val="24"/>
                <w:szCs w:val="24"/>
              </w:rPr>
            </w:pPr>
            <w:r w:rsidRPr="00713B50">
              <w:rPr>
                <w:sz w:val="24"/>
                <w:szCs w:val="24"/>
              </w:rPr>
              <w:t xml:space="preserve">The Council has insufficient resources and/or dedicated staff in place to effectively administer and account for the grant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599651" w14:textId="652D183D" w:rsidR="008D5FB3" w:rsidRPr="00713B50" w:rsidRDefault="008D5FB3" w:rsidP="00BE7A34">
            <w:pPr>
              <w:pStyle w:val="ListParagraph"/>
              <w:numPr>
                <w:ilvl w:val="0"/>
                <w:numId w:val="16"/>
              </w:numPr>
              <w:suppressAutoHyphens/>
              <w:autoSpaceDN w:val="0"/>
              <w:spacing w:line="247" w:lineRule="auto"/>
              <w:ind w:left="164" w:right="141" w:hanging="164"/>
              <w:rPr>
                <w:szCs w:val="24"/>
                <w:lang w:val="en-US"/>
              </w:rPr>
            </w:pPr>
            <w:r w:rsidRPr="00713B50">
              <w:rPr>
                <w:szCs w:val="24"/>
                <w:lang w:val="en-US"/>
              </w:rPr>
              <w:t xml:space="preserve">Programme Manager appointed as a dedicated officer to oversee this process including stringent internal financial management processes and regime by the finance directorate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AE892CB"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3162EAF3" w14:textId="77777777" w:rsidTr="6B9560E0">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7B4ACE" w14:textId="77777777" w:rsidR="008D5FB3" w:rsidRPr="0024663D" w:rsidRDefault="008D5FB3" w:rsidP="007547A7">
            <w:pPr>
              <w:pStyle w:val="CommentText"/>
              <w:rPr>
                <w:sz w:val="24"/>
                <w:szCs w:val="24"/>
              </w:rPr>
            </w:pPr>
            <w:r w:rsidRPr="0024663D">
              <w:rPr>
                <w:sz w:val="24"/>
                <w:szCs w:val="24"/>
              </w:rPr>
              <w:lastRenderedPageBreak/>
              <w:t>The GLA does not meet the terms of its MOU with central government leading to a reduction or the cessation of funding from the GLA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F18D7E" w14:textId="77777777" w:rsidR="008D5FB3" w:rsidRPr="0024663D" w:rsidRDefault="008D5FB3" w:rsidP="007547A7">
            <w:pPr>
              <w:pStyle w:val="ListParagraph"/>
              <w:numPr>
                <w:ilvl w:val="0"/>
                <w:numId w:val="16"/>
              </w:numPr>
              <w:suppressAutoHyphens/>
              <w:autoSpaceDN w:val="0"/>
              <w:spacing w:line="247" w:lineRule="auto"/>
              <w:ind w:left="164" w:right="141" w:hanging="164"/>
              <w:rPr>
                <w:szCs w:val="24"/>
                <w:lang w:val="en-US"/>
              </w:rPr>
            </w:pPr>
            <w:r w:rsidRPr="0024663D">
              <w:rPr>
                <w:szCs w:val="24"/>
                <w:lang w:val="en-US"/>
              </w:rPr>
              <w:t xml:space="preserve">If this happened projects would be reviewed and scaled down to meet and recognize the financial resources available to us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0CDC748"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21B497F5" w14:textId="77777777" w:rsidTr="6B9560E0">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DC454B" w14:textId="77777777" w:rsidR="008D5FB3" w:rsidRDefault="008D5FB3" w:rsidP="007547A7">
            <w:pPr>
              <w:spacing w:line="247" w:lineRule="auto"/>
              <w:ind w:right="141"/>
              <w:rPr>
                <w:rFonts w:cs="Arial"/>
                <w:szCs w:val="24"/>
                <w:lang w:val="en-US" w:eastAsia="en-GB"/>
              </w:rPr>
            </w:pPr>
            <w:r>
              <w:rPr>
                <w:rFonts w:cs="Arial"/>
                <w:szCs w:val="24"/>
                <w:lang w:val="en-US" w:eastAsia="en-GB"/>
              </w:rPr>
              <w:t>Delay in GLA finalising the Grant Funding Agreement (GFA) with Harrow Council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5B1FFF" w14:textId="2C28C36D" w:rsidR="008D5FB3" w:rsidRPr="00CE52F3" w:rsidRDefault="47F7969E" w:rsidP="6B9560E0">
            <w:pPr>
              <w:pStyle w:val="ListParagraph"/>
              <w:numPr>
                <w:ilvl w:val="0"/>
                <w:numId w:val="16"/>
              </w:numPr>
              <w:suppressAutoHyphens/>
              <w:autoSpaceDN w:val="0"/>
              <w:spacing w:line="247" w:lineRule="auto"/>
              <w:ind w:left="173" w:right="141" w:hanging="173"/>
              <w:rPr>
                <w:lang w:val="en-US"/>
              </w:rPr>
            </w:pPr>
            <w:r w:rsidRPr="6B9560E0">
              <w:rPr>
                <w:lang w:val="en-US"/>
              </w:rPr>
              <w:t xml:space="preserve">A draft GFA has already been reviewed by HB Public Law. Comments on the GFA have been sent to and agreed by the GLA before the final GFA is issued.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55E733A1"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r w:rsidR="008D5FB3" w14:paraId="4AF8C1B6" w14:textId="77777777" w:rsidTr="6B9560E0">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365E22" w14:textId="77777777" w:rsidR="008D5FB3" w:rsidRDefault="008D5FB3" w:rsidP="007547A7">
            <w:pPr>
              <w:spacing w:line="247" w:lineRule="auto"/>
              <w:ind w:right="141"/>
              <w:rPr>
                <w:rFonts w:cs="Arial"/>
                <w:szCs w:val="24"/>
                <w:lang w:val="en-US" w:eastAsia="en-GB"/>
              </w:rPr>
            </w:pPr>
            <w:r>
              <w:rPr>
                <w:rFonts w:cs="Arial"/>
                <w:szCs w:val="24"/>
                <w:lang w:val="en-US" w:eastAsia="en-GB"/>
              </w:rPr>
              <w:t>Delay in funding being paid especially for 2022/23 could delay delivery of project(s)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C606CF" w14:textId="77777777" w:rsidR="008D5FB3" w:rsidRPr="007738E4" w:rsidRDefault="008D5FB3" w:rsidP="007547A7">
            <w:pPr>
              <w:pStyle w:val="ListParagraph"/>
              <w:numPr>
                <w:ilvl w:val="0"/>
                <w:numId w:val="16"/>
              </w:numPr>
              <w:suppressAutoHyphens/>
              <w:autoSpaceDN w:val="0"/>
              <w:spacing w:line="247" w:lineRule="auto"/>
              <w:ind w:left="173" w:right="141" w:hanging="173"/>
              <w:rPr>
                <w:szCs w:val="24"/>
                <w:lang w:val="en-US"/>
              </w:rPr>
            </w:pPr>
            <w:r>
              <w:t xml:space="preserve">Projects have been designed to take account of delay in funding being paid in time. Most of the projects are not planned to start spending until 2023/24.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FFFFF79"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r w:rsidR="008D5FB3" w14:paraId="6E1994CD" w14:textId="77777777" w:rsidTr="6B9560E0">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2C4D97" w14:textId="77777777" w:rsidR="008D5FB3" w:rsidRPr="0070164B" w:rsidRDefault="008D5FB3" w:rsidP="007547A7">
            <w:pPr>
              <w:spacing w:line="247" w:lineRule="auto"/>
              <w:ind w:right="141"/>
              <w:rPr>
                <w:rFonts w:cs="Arial"/>
                <w:szCs w:val="24"/>
                <w:lang w:val="en-US" w:eastAsia="en-GB"/>
              </w:rPr>
            </w:pPr>
            <w:r>
              <w:rPr>
                <w:rFonts w:cs="Arial"/>
                <w:szCs w:val="24"/>
                <w:lang w:val="en-US" w:eastAsia="en-GB"/>
              </w:rPr>
              <w:t xml:space="preserve">Reduction in the Grant paid to Harrow Council because of the </w:t>
            </w:r>
            <w:r w:rsidRPr="00691CB8">
              <w:rPr>
                <w:rFonts w:cs="Arial"/>
                <w:szCs w:val="24"/>
                <w:lang w:val="en-US" w:eastAsia="en-GB"/>
              </w:rPr>
              <w:t>Secretary of State withhold</w:t>
            </w:r>
            <w:r>
              <w:rPr>
                <w:rFonts w:cs="Arial"/>
                <w:szCs w:val="24"/>
                <w:lang w:val="en-US" w:eastAsia="en-GB"/>
              </w:rPr>
              <w:t>ing</w:t>
            </w:r>
            <w:r w:rsidRPr="00691CB8">
              <w:rPr>
                <w:rFonts w:cs="Arial"/>
                <w:szCs w:val="24"/>
                <w:lang w:val="en-US" w:eastAsia="en-GB"/>
              </w:rPr>
              <w:t xml:space="preserve"> or reduc</w:t>
            </w:r>
            <w:r>
              <w:rPr>
                <w:rFonts w:cs="Arial"/>
                <w:szCs w:val="24"/>
                <w:lang w:val="en-US" w:eastAsia="en-GB"/>
              </w:rPr>
              <w:t>ing</w:t>
            </w:r>
            <w:r w:rsidRPr="00691CB8">
              <w:rPr>
                <w:rFonts w:cs="Arial"/>
                <w:szCs w:val="24"/>
                <w:lang w:val="en-US" w:eastAsia="en-GB"/>
              </w:rPr>
              <w:t xml:space="preserve"> UK Shared Prosperity Funding under its Memorandum of Understanding</w:t>
            </w:r>
            <w:r>
              <w:rPr>
                <w:rFonts w:cs="Arial"/>
                <w:szCs w:val="24"/>
                <w:lang w:val="en-US" w:eastAsia="en-GB"/>
              </w:rPr>
              <w:t xml:space="preserve"> (MOU)</w:t>
            </w:r>
            <w:r w:rsidRPr="00691CB8">
              <w:rPr>
                <w:rFonts w:cs="Arial"/>
                <w:szCs w:val="24"/>
                <w:lang w:val="en-US" w:eastAsia="en-GB"/>
              </w:rPr>
              <w:t xml:space="preserve"> with the GLA</w:t>
            </w:r>
            <w:r>
              <w:rPr>
                <w:rFonts w:cs="Arial"/>
                <w:szCs w:val="24"/>
                <w:lang w:val="en-US" w:eastAsia="en-GB"/>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A977F6" w14:textId="77777777" w:rsidR="008D5FB3" w:rsidRDefault="008D5FB3" w:rsidP="007547A7">
            <w:pPr>
              <w:pStyle w:val="ListParagraph"/>
              <w:numPr>
                <w:ilvl w:val="0"/>
                <w:numId w:val="16"/>
              </w:numPr>
              <w:ind w:left="173" w:hanging="173"/>
            </w:pPr>
            <w:r w:rsidRPr="007738E4">
              <w:rPr>
                <w:szCs w:val="24"/>
                <w:lang w:val="en-US"/>
              </w:rPr>
              <w:t xml:space="preserve">Harrow to ensure that it meets </w:t>
            </w:r>
            <w:r>
              <w:t xml:space="preserve">the requirements of its GFA with the GLA including, for example the need for the council to submit quarterly claim submissions. </w:t>
            </w:r>
          </w:p>
          <w:p w14:paraId="6A6C1DF6" w14:textId="77777777" w:rsidR="008D5FB3" w:rsidRDefault="008D5FB3" w:rsidP="007547A7">
            <w:pPr>
              <w:pStyle w:val="ListParagraph"/>
              <w:ind w:left="173"/>
            </w:pPr>
          </w:p>
          <w:p w14:paraId="50C66179" w14:textId="0E07BE18" w:rsidR="008D5FB3" w:rsidRDefault="008D5FB3" w:rsidP="007547A7">
            <w:pPr>
              <w:pStyle w:val="ListParagraph"/>
              <w:numPr>
                <w:ilvl w:val="0"/>
                <w:numId w:val="16"/>
              </w:numPr>
              <w:ind w:left="173" w:hanging="173"/>
            </w:pPr>
            <w:r>
              <w:t>In the case of any reductions in funding, projects will be scaled down accordingly as indicated above.</w:t>
            </w:r>
          </w:p>
          <w:p w14:paraId="65964981" w14:textId="77777777" w:rsidR="008D5FB3" w:rsidRDefault="008D5FB3" w:rsidP="007547A7"/>
          <w:p w14:paraId="518EBEF1" w14:textId="77777777" w:rsidR="008D5FB3" w:rsidRPr="007738E4" w:rsidRDefault="008D5FB3" w:rsidP="007547A7">
            <w:pPr>
              <w:pStyle w:val="ListParagraph"/>
              <w:numPr>
                <w:ilvl w:val="0"/>
                <w:numId w:val="16"/>
              </w:numPr>
              <w:suppressAutoHyphens/>
              <w:autoSpaceDN w:val="0"/>
              <w:spacing w:line="247" w:lineRule="auto"/>
              <w:ind w:left="173" w:right="141" w:hanging="173"/>
              <w:rPr>
                <w:szCs w:val="24"/>
                <w:lang w:val="en-US"/>
              </w:rPr>
            </w:pPr>
            <w:r w:rsidRPr="007738E4">
              <w:rPr>
                <w:szCs w:val="24"/>
                <w:lang w:val="en-US"/>
              </w:rPr>
              <w:t>However, Harrow is relying on the other London boroughs and the GLA to ensure that the GLA meets the terms of its MOU with the Government.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C3FFEA9"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bl>
    <w:p w14:paraId="666E5C9B" w14:textId="77777777" w:rsidR="008D5FB3" w:rsidRDefault="008D5FB3" w:rsidP="008D5FB3">
      <w:r>
        <w:br w:type="page"/>
      </w:r>
    </w:p>
    <w:tbl>
      <w:tblPr>
        <w:tblW w:w="8792"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964"/>
        <w:gridCol w:w="3402"/>
        <w:gridCol w:w="1417"/>
        <w:gridCol w:w="9"/>
      </w:tblGrid>
      <w:tr w:rsidR="008D5FB3" w14:paraId="4735F135" w14:textId="77777777" w:rsidTr="00BE7A34">
        <w:trPr>
          <w:gridAfter w:val="1"/>
          <w:wAfter w:w="9" w:type="dxa"/>
          <w:trHeight w:val="555"/>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2E381F2" w14:textId="77777777" w:rsidR="008D5FB3" w:rsidRDefault="008D5FB3" w:rsidP="007547A7">
            <w:pPr>
              <w:spacing w:line="247" w:lineRule="auto"/>
              <w:ind w:right="141"/>
              <w:rPr>
                <w:rFonts w:cs="Arial"/>
                <w:szCs w:val="24"/>
                <w:lang w:val="en-US" w:eastAsia="en-GB"/>
              </w:rPr>
            </w:pPr>
            <w:r w:rsidRPr="000A6382">
              <w:rPr>
                <w:rFonts w:cs="Arial"/>
                <w:b/>
                <w:bCs/>
                <w:szCs w:val="24"/>
                <w:lang w:val="en-US" w:eastAsia="en-GB"/>
              </w:rPr>
              <w:lastRenderedPageBreak/>
              <w:t>Risk Description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CFD005F" w14:textId="77777777" w:rsidR="008D5FB3" w:rsidRPr="00443B4D" w:rsidRDefault="008D5FB3" w:rsidP="007547A7">
            <w:pPr>
              <w:rPr>
                <w:szCs w:val="24"/>
                <w:lang w:val="en-US"/>
              </w:rPr>
            </w:pPr>
            <w:r w:rsidRPr="000A6382">
              <w:rPr>
                <w:rFonts w:cs="Arial"/>
                <w:b/>
                <w:bCs/>
                <w:szCs w:val="24"/>
                <w:lang w:val="en-US" w:eastAsia="en-GB"/>
              </w:rPr>
              <w:t>Mitigations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042615" w14:textId="77777777" w:rsidR="008D5FB3" w:rsidRDefault="008D5FB3" w:rsidP="007547A7">
            <w:pPr>
              <w:spacing w:line="247" w:lineRule="auto"/>
              <w:ind w:right="141"/>
              <w:jc w:val="center"/>
              <w:rPr>
                <w:rFonts w:cs="Arial"/>
                <w:szCs w:val="24"/>
                <w:lang w:val="en-US" w:eastAsia="en-GB"/>
              </w:rPr>
            </w:pPr>
            <w:r w:rsidRPr="000A6382">
              <w:rPr>
                <w:rFonts w:cs="Arial"/>
                <w:b/>
                <w:bCs/>
                <w:szCs w:val="24"/>
                <w:lang w:val="en-US" w:eastAsia="en-GB"/>
              </w:rPr>
              <w:t>RAG Status</w:t>
            </w:r>
          </w:p>
        </w:tc>
      </w:tr>
      <w:tr w:rsidR="008D5FB3" w14:paraId="157FC5F1" w14:textId="77777777" w:rsidTr="007547A7">
        <w:trPr>
          <w:trHeight w:val="413"/>
        </w:trPr>
        <w:tc>
          <w:tcPr>
            <w:tcW w:w="87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B736893" w14:textId="77777777" w:rsidR="008D5FB3" w:rsidRDefault="008D5FB3" w:rsidP="007547A7">
            <w:pPr>
              <w:spacing w:line="247" w:lineRule="auto"/>
              <w:ind w:right="141"/>
              <w:rPr>
                <w:rFonts w:cs="Arial"/>
                <w:szCs w:val="24"/>
                <w:lang w:val="en-US" w:eastAsia="en-GB"/>
              </w:rPr>
            </w:pPr>
            <w:r>
              <w:rPr>
                <w:rFonts w:cs="Arial"/>
                <w:b/>
                <w:bCs/>
                <w:szCs w:val="24"/>
                <w:lang w:val="en-US" w:eastAsia="en-GB"/>
              </w:rPr>
              <w:t xml:space="preserve">Risks Relating to </w:t>
            </w:r>
            <w:r w:rsidRPr="0045072B">
              <w:rPr>
                <w:rFonts w:cs="Arial"/>
                <w:b/>
                <w:bCs/>
                <w:szCs w:val="24"/>
                <w:lang w:val="en-US" w:eastAsia="en-GB"/>
              </w:rPr>
              <w:t xml:space="preserve">Project Delivery </w:t>
            </w:r>
          </w:p>
        </w:tc>
      </w:tr>
      <w:tr w:rsidR="008D5FB3" w14:paraId="77215A28" w14:textId="77777777" w:rsidTr="007547A7">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D96FD0" w14:textId="77777777" w:rsidR="008D5FB3" w:rsidRDefault="008D5FB3" w:rsidP="007547A7">
            <w:pPr>
              <w:spacing w:line="247" w:lineRule="auto"/>
              <w:ind w:right="141"/>
              <w:rPr>
                <w:rFonts w:cs="Arial"/>
                <w:szCs w:val="24"/>
                <w:lang w:val="en-US" w:eastAsia="en-GB"/>
              </w:rPr>
            </w:pPr>
            <w:r w:rsidRPr="00204803">
              <w:t xml:space="preserve">The Council’s level of performance/delivery on the completion of project headline milestones is weak/unsatisfactory leading to it being unable to attract or sustain continued funding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A3606B" w14:textId="77777777" w:rsidR="008D5FB3" w:rsidRDefault="008D5FB3" w:rsidP="007547A7">
            <w:pPr>
              <w:pStyle w:val="Footer"/>
              <w:numPr>
                <w:ilvl w:val="0"/>
                <w:numId w:val="16"/>
              </w:numPr>
              <w:suppressAutoHyphens/>
              <w:autoSpaceDN w:val="0"/>
              <w:spacing w:line="247" w:lineRule="auto"/>
              <w:ind w:left="306" w:right="141" w:hanging="284"/>
            </w:pPr>
            <w:r w:rsidRPr="00B929B3">
              <w:t xml:space="preserve">Programme Manager appointed as a dedicated officer to oversee this process including stringent internal financial management processes and regime by the finance directorate </w:t>
            </w:r>
          </w:p>
          <w:p w14:paraId="2FB6CB41" w14:textId="77777777" w:rsidR="008D5FB3" w:rsidRDefault="008D5FB3" w:rsidP="007547A7">
            <w:pPr>
              <w:pStyle w:val="Footer"/>
              <w:numPr>
                <w:ilvl w:val="0"/>
                <w:numId w:val="16"/>
              </w:numPr>
              <w:suppressAutoHyphens/>
              <w:autoSpaceDN w:val="0"/>
              <w:spacing w:line="247" w:lineRule="auto"/>
              <w:ind w:left="306" w:right="141" w:hanging="284"/>
            </w:pPr>
            <w:r>
              <w:t xml:space="preserve">Project-level reviews are built into the regular monitoring process carried out internally on projects to identify any projects not on track </w:t>
            </w:r>
          </w:p>
          <w:p w14:paraId="12A04320" w14:textId="77777777" w:rsidR="008D5FB3" w:rsidRDefault="008D5FB3" w:rsidP="007547A7">
            <w:pPr>
              <w:pStyle w:val="Footer"/>
              <w:numPr>
                <w:ilvl w:val="0"/>
                <w:numId w:val="16"/>
              </w:numPr>
              <w:suppressAutoHyphens/>
              <w:autoSpaceDN w:val="0"/>
              <w:spacing w:line="247" w:lineRule="auto"/>
              <w:ind w:left="306" w:right="141" w:hanging="284"/>
            </w:pPr>
            <w:r w:rsidRPr="00160A1F">
              <w:t xml:space="preserve">Any </w:t>
            </w:r>
            <w:r>
              <w:t xml:space="preserve">significant </w:t>
            </w:r>
            <w:r w:rsidRPr="00160A1F">
              <w:t xml:space="preserve">issues </w:t>
            </w:r>
            <w:r>
              <w:t xml:space="preserve">on delivery </w:t>
            </w:r>
            <w:r w:rsidRPr="00160A1F">
              <w:t xml:space="preserve">would be escalated to Director-level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93BD32E"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07C91A48" w14:textId="77777777" w:rsidTr="007547A7">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8CB78D" w14:textId="77777777" w:rsidR="008D5FB3" w:rsidRDefault="008D5FB3" w:rsidP="007547A7">
            <w:pPr>
              <w:spacing w:line="247" w:lineRule="auto"/>
              <w:ind w:right="141"/>
              <w:rPr>
                <w:rFonts w:cs="Arial"/>
                <w:szCs w:val="24"/>
                <w:lang w:val="en-US" w:eastAsia="en-GB"/>
              </w:rPr>
            </w:pPr>
            <w:r>
              <w:rPr>
                <w:rFonts w:cs="Arial"/>
                <w:szCs w:val="24"/>
                <w:lang w:val="en-US" w:eastAsia="en-GB"/>
              </w:rPr>
              <w:t>Delay in funding being paid at each milestone stage could delay delivery of project(s)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6A825A" w14:textId="77777777" w:rsidR="008D5FB3" w:rsidRDefault="008D5FB3" w:rsidP="007547A7">
            <w:pPr>
              <w:pStyle w:val="Footer"/>
              <w:numPr>
                <w:ilvl w:val="0"/>
                <w:numId w:val="16"/>
              </w:numPr>
              <w:suppressAutoHyphens/>
              <w:autoSpaceDN w:val="0"/>
              <w:spacing w:line="247" w:lineRule="auto"/>
              <w:ind w:left="173" w:right="141" w:hanging="173"/>
            </w:pPr>
            <w:r>
              <w:t xml:space="preserve">A Programme Manager has been appointed to ensure that all projects remain on track with the agreed outputs and outcome targets to ensure each payment milestone is met. </w:t>
            </w:r>
          </w:p>
          <w:p w14:paraId="1B178047" w14:textId="77777777" w:rsidR="008D5FB3" w:rsidRDefault="008D5FB3" w:rsidP="007547A7">
            <w:pPr>
              <w:pStyle w:val="Footer"/>
              <w:numPr>
                <w:ilvl w:val="0"/>
                <w:numId w:val="16"/>
              </w:numPr>
              <w:suppressAutoHyphens/>
              <w:autoSpaceDN w:val="0"/>
              <w:spacing w:line="247" w:lineRule="auto"/>
              <w:ind w:left="173" w:right="141" w:hanging="173"/>
            </w:pPr>
            <w:r>
              <w:t xml:space="preserve">Also see mitigations above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FA0E581" w14:textId="77777777" w:rsidR="008D5FB3" w:rsidRPr="003F0FC7" w:rsidRDefault="008D5FB3" w:rsidP="007547A7">
            <w:pPr>
              <w:spacing w:line="247" w:lineRule="auto"/>
              <w:ind w:left="171" w:right="141"/>
              <w:jc w:val="center"/>
              <w:rPr>
                <w:rFonts w:cs="Arial"/>
                <w:b/>
                <w:bCs/>
                <w:szCs w:val="24"/>
                <w:lang w:val="en-US" w:eastAsia="en-GB"/>
              </w:rPr>
            </w:pPr>
          </w:p>
          <w:p w14:paraId="0A916B2B"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r w:rsidR="008D5FB3" w14:paraId="1EC3EC8F" w14:textId="77777777" w:rsidTr="007547A7">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01DE79" w14:textId="77777777" w:rsidR="008D5FB3" w:rsidRDefault="008D5FB3" w:rsidP="007547A7">
            <w:pPr>
              <w:spacing w:line="247" w:lineRule="auto"/>
              <w:ind w:right="141"/>
              <w:rPr>
                <w:rFonts w:cs="Arial"/>
                <w:szCs w:val="24"/>
                <w:lang w:val="en-US" w:eastAsia="en-GB"/>
              </w:rPr>
            </w:pPr>
            <w:r w:rsidRPr="00204803">
              <w:rPr>
                <w:rFonts w:cs="Arial"/>
                <w:szCs w:val="24"/>
                <w:lang w:val="en-US" w:eastAsia="en-GB"/>
              </w:rPr>
              <w:t xml:space="preserve">Materials and labour shortages occur leading to significant delays on the completion of projects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C0A923" w14:textId="77777777" w:rsidR="008D5FB3" w:rsidRDefault="008D5FB3" w:rsidP="007547A7">
            <w:pPr>
              <w:pStyle w:val="Footer"/>
              <w:numPr>
                <w:ilvl w:val="0"/>
                <w:numId w:val="16"/>
              </w:numPr>
              <w:suppressAutoHyphens/>
              <w:autoSpaceDN w:val="0"/>
              <w:spacing w:line="247" w:lineRule="auto"/>
              <w:ind w:left="164" w:right="141" w:hanging="164"/>
            </w:pPr>
            <w:r>
              <w:t xml:space="preserve">Regular projects reviews are in place to identify any issues in this area </w:t>
            </w:r>
          </w:p>
          <w:p w14:paraId="6525941B" w14:textId="77777777" w:rsidR="008D5FB3" w:rsidRDefault="008D5FB3" w:rsidP="007547A7">
            <w:pPr>
              <w:pStyle w:val="Footer"/>
              <w:numPr>
                <w:ilvl w:val="0"/>
                <w:numId w:val="16"/>
              </w:numPr>
              <w:suppressAutoHyphens/>
              <w:autoSpaceDN w:val="0"/>
              <w:spacing w:line="247" w:lineRule="auto"/>
              <w:ind w:left="164" w:right="141" w:hanging="164"/>
            </w:pPr>
            <w:r>
              <w:t xml:space="preserve">We would also seek agreement with the GLA on alternative outputs and outcomes and the way forward if significant shortages should occur </w:t>
            </w:r>
          </w:p>
          <w:p w14:paraId="6DAFBB54" w14:textId="77777777" w:rsidR="008D5FB3" w:rsidRDefault="008D5FB3" w:rsidP="007547A7">
            <w:pPr>
              <w:pStyle w:val="Footer"/>
              <w:suppressAutoHyphens/>
              <w:autoSpaceDN w:val="0"/>
              <w:spacing w:line="247" w:lineRule="auto"/>
              <w:ind w:left="164" w:right="141"/>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9B27876"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3AF341B0" w14:textId="77777777" w:rsidTr="007547A7">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56EB6F" w14:textId="77777777" w:rsidR="008D5FB3" w:rsidRDefault="008D5FB3" w:rsidP="007547A7">
            <w:pPr>
              <w:spacing w:line="247" w:lineRule="auto"/>
              <w:ind w:right="141"/>
              <w:rPr>
                <w:rFonts w:cs="Arial"/>
                <w:szCs w:val="24"/>
                <w:lang w:val="en-US" w:eastAsia="en-GB"/>
              </w:rPr>
            </w:pPr>
            <w:r>
              <w:rPr>
                <w:rFonts w:cs="Arial"/>
                <w:szCs w:val="24"/>
                <w:lang w:val="en-US" w:eastAsia="en-GB"/>
              </w:rPr>
              <w:t>Project costs increase due to both foreseen (e.g. inflation) and unforeseen circumstances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92F815" w14:textId="77777777" w:rsidR="008D5FB3" w:rsidRDefault="008D5FB3" w:rsidP="007547A7">
            <w:pPr>
              <w:pStyle w:val="Footer"/>
              <w:numPr>
                <w:ilvl w:val="0"/>
                <w:numId w:val="16"/>
              </w:numPr>
              <w:suppressAutoHyphens/>
              <w:autoSpaceDN w:val="0"/>
              <w:spacing w:line="247" w:lineRule="auto"/>
              <w:ind w:left="173" w:right="141" w:hanging="142"/>
            </w:pPr>
            <w:r>
              <w:t xml:space="preserve">All the projects have been developed with a contingency plan including whether the project can be reduced in scale if needed </w:t>
            </w:r>
          </w:p>
          <w:p w14:paraId="23443A03" w14:textId="77777777" w:rsidR="008D5FB3" w:rsidRDefault="008D5FB3" w:rsidP="007547A7">
            <w:pPr>
              <w:pStyle w:val="Footer"/>
              <w:suppressAutoHyphens/>
              <w:autoSpaceDN w:val="0"/>
              <w:spacing w:line="247" w:lineRule="auto"/>
              <w:ind w:left="173" w:right="141"/>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B724CA6"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bl>
    <w:p w14:paraId="062BE184" w14:textId="77777777" w:rsidR="00524386" w:rsidRDefault="00524386" w:rsidP="00105B8A"/>
    <w:p w14:paraId="66F5F3B5" w14:textId="77777777" w:rsidR="00524386" w:rsidRDefault="00524386" w:rsidP="00105B8A"/>
    <w:p w14:paraId="455FD748" w14:textId="77777777" w:rsidR="00524386" w:rsidRDefault="00524386" w:rsidP="00105B8A"/>
    <w:p w14:paraId="7583FA52" w14:textId="77777777" w:rsidR="00C53F1A" w:rsidRDefault="00C53F1A" w:rsidP="00105B8A">
      <w:pPr>
        <w:ind w:left="567" w:right="141" w:hanging="567"/>
        <w:rPr>
          <w:rFonts w:cs="Arial"/>
          <w:szCs w:val="24"/>
          <w:lang w:val="en-US" w:eastAsia="en-GB"/>
        </w:rPr>
      </w:pPr>
    </w:p>
    <w:bookmarkEnd w:id="0"/>
    <w:bookmarkEnd w:id="1"/>
    <w:bookmarkEnd w:id="2"/>
    <w:p w14:paraId="0249BBDB" w14:textId="02A38157" w:rsidR="002A3FEF" w:rsidRDefault="69978DAD" w:rsidP="0092793B">
      <w:pPr>
        <w:pStyle w:val="Heading3"/>
        <w:spacing w:before="480" w:after="240"/>
        <w:ind w:left="0" w:firstLine="0"/>
      </w:pPr>
      <w:r>
        <w:lastRenderedPageBreak/>
        <w:t>Procurement Implications</w:t>
      </w:r>
    </w:p>
    <w:p w14:paraId="180F93A3" w14:textId="44EC52B6" w:rsidR="1AE0564D" w:rsidRDefault="1AE0564D" w:rsidP="7771D879">
      <w:pPr>
        <w:spacing w:before="240"/>
      </w:pPr>
      <w:r>
        <w:t>Any procurement arising from the recommendations set out in the recommendations of this report will be undertaken in com</w:t>
      </w:r>
      <w:r w:rsidR="6B07808E">
        <w:t>pliance with the Public Contract Regulations 2015 and the Contract Procedure Rules.</w:t>
      </w:r>
    </w:p>
    <w:p w14:paraId="44413A6E" w14:textId="77777777" w:rsidR="00333FAA" w:rsidRDefault="00333FAA" w:rsidP="00A1211C">
      <w:pPr>
        <w:pStyle w:val="Heading3"/>
        <w:spacing w:before="480" w:after="240"/>
      </w:pPr>
      <w:r>
        <w:t>Legal Implications</w:t>
      </w:r>
    </w:p>
    <w:p w14:paraId="4AAAB378" w14:textId="20A4A1A7" w:rsidR="003E2D47" w:rsidRDefault="003E2D47" w:rsidP="003E2D47">
      <w:r>
        <w:t xml:space="preserve">The GLA’s </w:t>
      </w:r>
      <w:r w:rsidR="35CC37B6">
        <w:t xml:space="preserve">draft </w:t>
      </w:r>
      <w:r>
        <w:t xml:space="preserve">UKSPF Grant Funding Agreement (GFA) has been considered by HB Public Law. </w:t>
      </w:r>
      <w:r w:rsidR="00093196">
        <w:t xml:space="preserve">The main </w:t>
      </w:r>
      <w:r w:rsidR="00240068">
        <w:t xml:space="preserve">legal implications of signing the GFA are highlighted in the report, noting that </w:t>
      </w:r>
      <w:r w:rsidR="00746019">
        <w:t xml:space="preserve">as the </w:t>
      </w:r>
      <w:r w:rsidR="00746019" w:rsidRPr="6B9560E0">
        <w:rPr>
          <w:rFonts w:cs="Arial"/>
        </w:rPr>
        <w:t xml:space="preserve">GFA has been drafted to reflect the GLA’s Memorandum of Understanding with </w:t>
      </w:r>
      <w:r w:rsidR="4AB9D3BB" w:rsidRPr="6B9560E0">
        <w:rPr>
          <w:rFonts w:cs="Arial"/>
        </w:rPr>
        <w:t xml:space="preserve">the </w:t>
      </w:r>
      <w:r w:rsidR="00746019" w:rsidRPr="6B9560E0">
        <w:rPr>
          <w:rFonts w:cs="Arial"/>
        </w:rPr>
        <w:t xml:space="preserve">UK </w:t>
      </w:r>
      <w:r w:rsidR="460E2466" w:rsidRPr="6B9560E0">
        <w:rPr>
          <w:rFonts w:cs="Arial"/>
        </w:rPr>
        <w:t>G</w:t>
      </w:r>
      <w:r w:rsidR="00746019" w:rsidRPr="6B9560E0">
        <w:rPr>
          <w:rFonts w:cs="Arial"/>
        </w:rPr>
        <w:t>overnment</w:t>
      </w:r>
      <w:r w:rsidR="00005BFB" w:rsidRPr="6B9560E0">
        <w:rPr>
          <w:rFonts w:cs="Arial"/>
        </w:rPr>
        <w:t>,</w:t>
      </w:r>
      <w:r w:rsidR="00746019">
        <w:t xml:space="preserve"> </w:t>
      </w:r>
      <w:r w:rsidR="002F2B3D">
        <w:t>it is</w:t>
      </w:r>
      <w:r w:rsidR="71303E20">
        <w:t xml:space="preserve"> </w:t>
      </w:r>
      <w:r w:rsidR="002F2B3D">
        <w:t>n</w:t>
      </w:r>
      <w:r w:rsidR="2E4697CD">
        <w:t>o</w:t>
      </w:r>
      <w:r w:rsidR="002F2B3D">
        <w:t>t possible to renegotiate the standard clauses or wording.</w:t>
      </w:r>
    </w:p>
    <w:p w14:paraId="2060C3CB" w14:textId="46D138D1" w:rsidR="0077485E" w:rsidRPr="004211BB" w:rsidRDefault="00333FAA" w:rsidP="004211BB">
      <w:pPr>
        <w:pStyle w:val="Heading3"/>
        <w:spacing w:before="480" w:after="240"/>
      </w:pPr>
      <w:r>
        <w:t>Financial Implications</w:t>
      </w:r>
    </w:p>
    <w:p w14:paraId="02BF6AE8" w14:textId="3406BAE6" w:rsidR="00953ECB" w:rsidRDefault="60A093DB" w:rsidP="00953ECB">
      <w:r>
        <w:t xml:space="preserve">Total grant allocated under the themes of Communities and Place, and Supporting Local Business is £1.148m. </w:t>
      </w:r>
      <w:r w:rsidR="4C3C011A">
        <w:t xml:space="preserve">This consists of £0.722m of capital funding and £0.696m of revenue funding. </w:t>
      </w:r>
      <w:r w:rsidR="757B1FA4">
        <w:t xml:space="preserve">Financial monitoring arrangements </w:t>
      </w:r>
      <w:r w:rsidR="1395884D">
        <w:t>have been</w:t>
      </w:r>
      <w:r w:rsidR="757B1FA4">
        <w:t xml:space="preserve"> put in place to ensure that the spend i</w:t>
      </w:r>
      <w:r w:rsidR="464B63BE">
        <w:t xml:space="preserve">s in accordance with the proposals approved by </w:t>
      </w:r>
      <w:r w:rsidR="677D2347">
        <w:t>the GLA</w:t>
      </w:r>
      <w:r w:rsidR="3DD01B47">
        <w:t xml:space="preserve"> and accurate financial information is used for</w:t>
      </w:r>
      <w:r w:rsidR="581CD1C0">
        <w:t xml:space="preserve"> each quarterly progress claim.</w:t>
      </w:r>
      <w:r w:rsidR="3DD01B47">
        <w:t xml:space="preserve"> </w:t>
      </w:r>
    </w:p>
    <w:p w14:paraId="41D80CF8" w14:textId="65E94730"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34E86357" w14:textId="4BF95C3B" w:rsidR="004E0257" w:rsidRDefault="00B177C0" w:rsidP="00176B96">
      <w:pPr>
        <w:rPr>
          <w:szCs w:val="24"/>
        </w:rPr>
      </w:pPr>
      <w:r>
        <w:rPr>
          <w:szCs w:val="24"/>
        </w:rPr>
        <w:t>An Eq</w:t>
      </w:r>
      <w:r w:rsidR="00D5542C">
        <w:rPr>
          <w:szCs w:val="24"/>
        </w:rPr>
        <w:t>ualities Impact Assessment (EqIA)</w:t>
      </w:r>
      <w:r>
        <w:rPr>
          <w:szCs w:val="24"/>
        </w:rPr>
        <w:t xml:space="preserve"> has been undertaken for </w:t>
      </w:r>
      <w:r w:rsidR="00F10ED7">
        <w:rPr>
          <w:szCs w:val="24"/>
        </w:rPr>
        <w:t xml:space="preserve">the UKSPF programme (see Appendix </w:t>
      </w:r>
      <w:r w:rsidR="00F8047D">
        <w:rPr>
          <w:szCs w:val="24"/>
        </w:rPr>
        <w:t>A</w:t>
      </w:r>
      <w:r w:rsidR="00F10ED7">
        <w:rPr>
          <w:szCs w:val="24"/>
        </w:rPr>
        <w:t>)</w:t>
      </w:r>
    </w:p>
    <w:p w14:paraId="343D6C6A" w14:textId="77777777" w:rsidR="008D2CC1" w:rsidRDefault="008D2CC1" w:rsidP="00176B96">
      <w:pPr>
        <w:rPr>
          <w:szCs w:val="24"/>
        </w:rPr>
      </w:pPr>
    </w:p>
    <w:p w14:paraId="7A3B31C7" w14:textId="4C94FDB2" w:rsidR="00F10ED7" w:rsidRDefault="00F10ED7" w:rsidP="00176B96">
      <w:pPr>
        <w:rPr>
          <w:szCs w:val="24"/>
        </w:rPr>
      </w:pPr>
      <w:r>
        <w:rPr>
          <w:szCs w:val="24"/>
        </w:rPr>
        <w:t xml:space="preserve">The key </w:t>
      </w:r>
      <w:r w:rsidR="00D5542C">
        <w:rPr>
          <w:szCs w:val="24"/>
        </w:rPr>
        <w:t xml:space="preserve">EqIA </w:t>
      </w:r>
      <w:r>
        <w:rPr>
          <w:szCs w:val="24"/>
        </w:rPr>
        <w:t xml:space="preserve">findings </w:t>
      </w:r>
      <w:r w:rsidR="00D5542C">
        <w:rPr>
          <w:szCs w:val="24"/>
        </w:rPr>
        <w:t>are as follows</w:t>
      </w:r>
      <w:r w:rsidR="00420111">
        <w:rPr>
          <w:szCs w:val="24"/>
        </w:rPr>
        <w:t>:</w:t>
      </w:r>
      <w:r w:rsidR="00D5542C">
        <w:rPr>
          <w:szCs w:val="24"/>
        </w:rPr>
        <w:t xml:space="preserve"> </w:t>
      </w:r>
    </w:p>
    <w:p w14:paraId="3DEA8B7E" w14:textId="77777777" w:rsidR="00D5542C" w:rsidRDefault="00D5542C" w:rsidP="00176B96">
      <w:pPr>
        <w:rPr>
          <w:szCs w:val="24"/>
        </w:rPr>
      </w:pPr>
    </w:p>
    <w:p w14:paraId="551D7EF4" w14:textId="394F9A98" w:rsidR="00BF322B" w:rsidRPr="00420111" w:rsidRDefault="004E0257" w:rsidP="00176B96">
      <w:pPr>
        <w:rPr>
          <w:b/>
          <w:bCs/>
          <w:szCs w:val="24"/>
        </w:rPr>
      </w:pPr>
      <w:r w:rsidRPr="00420111">
        <w:rPr>
          <w:b/>
          <w:bCs/>
          <w:szCs w:val="24"/>
        </w:rPr>
        <w:t>Communities and Place</w:t>
      </w:r>
    </w:p>
    <w:p w14:paraId="7063D4AD" w14:textId="70D84903" w:rsidR="00BF322B" w:rsidRPr="006669C3" w:rsidRDefault="004E0257" w:rsidP="006669C3">
      <w:pPr>
        <w:rPr>
          <w:szCs w:val="24"/>
        </w:rPr>
      </w:pPr>
      <w:r w:rsidRPr="006669C3">
        <w:rPr>
          <w:szCs w:val="24"/>
        </w:rPr>
        <w:t>We do not anticipate that the</w:t>
      </w:r>
      <w:r w:rsidR="00B177C0">
        <w:rPr>
          <w:szCs w:val="24"/>
        </w:rPr>
        <w:t xml:space="preserve"> </w:t>
      </w:r>
      <w:r w:rsidRPr="006669C3">
        <w:rPr>
          <w:szCs w:val="24"/>
        </w:rPr>
        <w:t>Communities and Place projects will have a negative impact on Harrow residents or result in any direct or indirect discrimination of any group that shares protected characteristics.</w:t>
      </w:r>
    </w:p>
    <w:p w14:paraId="7C13148E" w14:textId="77777777" w:rsidR="006669C3" w:rsidRDefault="006669C3" w:rsidP="006669C3">
      <w:pPr>
        <w:rPr>
          <w:szCs w:val="24"/>
        </w:rPr>
      </w:pPr>
    </w:p>
    <w:p w14:paraId="444B3302" w14:textId="5F312987" w:rsidR="004E0257" w:rsidRPr="006669C3" w:rsidRDefault="004E0257" w:rsidP="006669C3">
      <w:pPr>
        <w:rPr>
          <w:szCs w:val="24"/>
        </w:rPr>
      </w:pPr>
      <w:r w:rsidRPr="006669C3">
        <w:rPr>
          <w:szCs w:val="24"/>
        </w:rPr>
        <w:t>Outcomes include the development of more community facilities, cultural assets and capacity building for resident led volunteer groups while the Energy advice and support offer will help residents with the cost of living. </w:t>
      </w:r>
    </w:p>
    <w:p w14:paraId="05E6E8BF" w14:textId="77777777" w:rsidR="00BA21B7" w:rsidRDefault="00BA21B7" w:rsidP="00176B96">
      <w:pPr>
        <w:rPr>
          <w:szCs w:val="24"/>
        </w:rPr>
      </w:pPr>
    </w:p>
    <w:p w14:paraId="5A384AA5" w14:textId="77777777" w:rsidR="00DF0E58" w:rsidRPr="00420111" w:rsidRDefault="00DF0E58" w:rsidP="00176B96">
      <w:pPr>
        <w:rPr>
          <w:b/>
          <w:bCs/>
          <w:szCs w:val="24"/>
        </w:rPr>
      </w:pPr>
      <w:r w:rsidRPr="00420111">
        <w:rPr>
          <w:b/>
          <w:bCs/>
          <w:szCs w:val="24"/>
        </w:rPr>
        <w:t>Supporting Local Business</w:t>
      </w:r>
    </w:p>
    <w:p w14:paraId="2A1FBF3D" w14:textId="77777777" w:rsidR="00DF0E58" w:rsidRDefault="00DF0E58" w:rsidP="00176B96">
      <w:pPr>
        <w:rPr>
          <w:szCs w:val="24"/>
        </w:rPr>
      </w:pPr>
      <w:r w:rsidRPr="00DF0E58">
        <w:rPr>
          <w:szCs w:val="24"/>
        </w:rPr>
        <w:t>The Business Engagement and Business Support project will be open to everyone and will include targeted support for women in business, young people (aged 18-30) and disabled people.</w:t>
      </w:r>
    </w:p>
    <w:p w14:paraId="49366BBC" w14:textId="77777777" w:rsidR="00597853" w:rsidRDefault="00597853" w:rsidP="00176B96">
      <w:pPr>
        <w:rPr>
          <w:szCs w:val="24"/>
        </w:rPr>
      </w:pPr>
    </w:p>
    <w:p w14:paraId="7489257B" w14:textId="57328C1F" w:rsidR="003775F8" w:rsidRDefault="00DF0E58" w:rsidP="00176B96">
      <w:pPr>
        <w:rPr>
          <w:szCs w:val="24"/>
        </w:rPr>
      </w:pPr>
      <w:r w:rsidRPr="00DF0E58">
        <w:rPr>
          <w:szCs w:val="24"/>
        </w:rPr>
        <w:t>The rationale for building in targeted support is to help to advance the equality of opportunity by addressing the inequalities that these groups face with business start-up, business survival and access to new contracts.</w:t>
      </w:r>
    </w:p>
    <w:p w14:paraId="235D82F3" w14:textId="77777777" w:rsidR="00B21846" w:rsidRDefault="00B21846" w:rsidP="00176B96">
      <w:pPr>
        <w:rPr>
          <w:szCs w:val="24"/>
        </w:rPr>
      </w:pPr>
    </w:p>
    <w:p w14:paraId="63F6504B" w14:textId="4628A8B3" w:rsidR="00E6135C" w:rsidRDefault="00E6135C" w:rsidP="00176B96">
      <w:pPr>
        <w:rPr>
          <w:szCs w:val="24"/>
        </w:rPr>
      </w:pPr>
      <w:r>
        <w:rPr>
          <w:szCs w:val="24"/>
        </w:rPr>
        <w:lastRenderedPageBreak/>
        <w:t>The EqIA</w:t>
      </w:r>
      <w:r w:rsidR="00AB150B">
        <w:rPr>
          <w:szCs w:val="24"/>
        </w:rPr>
        <w:t xml:space="preserve"> </w:t>
      </w:r>
      <w:r>
        <w:rPr>
          <w:szCs w:val="24"/>
        </w:rPr>
        <w:t xml:space="preserve">makes </w:t>
      </w:r>
      <w:r w:rsidR="001A0C39">
        <w:rPr>
          <w:szCs w:val="24"/>
        </w:rPr>
        <w:t xml:space="preserve">the following </w:t>
      </w:r>
      <w:r w:rsidR="00AB150B">
        <w:rPr>
          <w:szCs w:val="24"/>
        </w:rPr>
        <w:t>recommendation</w:t>
      </w:r>
      <w:r w:rsidR="001A0C39">
        <w:rPr>
          <w:szCs w:val="24"/>
        </w:rPr>
        <w:t>s</w:t>
      </w:r>
      <w:r w:rsidR="00AB150B">
        <w:rPr>
          <w:szCs w:val="24"/>
        </w:rPr>
        <w:t xml:space="preserve"> </w:t>
      </w:r>
      <w:r w:rsidR="00131752">
        <w:rPr>
          <w:szCs w:val="24"/>
        </w:rPr>
        <w:t xml:space="preserve">for the </w:t>
      </w:r>
      <w:r w:rsidR="009F18C7">
        <w:rPr>
          <w:szCs w:val="24"/>
        </w:rPr>
        <w:t>S</w:t>
      </w:r>
      <w:r w:rsidR="00131752">
        <w:rPr>
          <w:szCs w:val="24"/>
        </w:rPr>
        <w:t xml:space="preserve">upporting Local Business Theme: </w:t>
      </w:r>
    </w:p>
    <w:p w14:paraId="0228507F" w14:textId="77777777" w:rsidR="00131752" w:rsidRPr="00131752" w:rsidRDefault="00131752" w:rsidP="00131752">
      <w:pPr>
        <w:pStyle w:val="ListParagraph"/>
        <w:numPr>
          <w:ilvl w:val="0"/>
          <w:numId w:val="15"/>
        </w:numPr>
        <w:rPr>
          <w:szCs w:val="24"/>
        </w:rPr>
      </w:pPr>
      <w:r w:rsidRPr="00131752">
        <w:rPr>
          <w:szCs w:val="24"/>
        </w:rPr>
        <w:t>The business support provider will ensure that there is provision in place to provide generic business information, advice and guidance to anyone that registers an interest.</w:t>
      </w:r>
    </w:p>
    <w:p w14:paraId="0D643503" w14:textId="4C4A7EAB" w:rsidR="00E6135C" w:rsidRPr="00131752" w:rsidRDefault="00131752" w:rsidP="00131752">
      <w:pPr>
        <w:pStyle w:val="ListParagraph"/>
        <w:numPr>
          <w:ilvl w:val="0"/>
          <w:numId w:val="15"/>
        </w:numPr>
        <w:rPr>
          <w:szCs w:val="24"/>
        </w:rPr>
      </w:pPr>
      <w:r w:rsidRPr="00131752">
        <w:rPr>
          <w:szCs w:val="24"/>
        </w:rPr>
        <w:t>There will also be signposting available to those requiring more intensive support.</w:t>
      </w:r>
    </w:p>
    <w:p w14:paraId="0E3A1A05" w14:textId="77777777" w:rsidR="00597853" w:rsidRDefault="00597853" w:rsidP="00176B96">
      <w:pPr>
        <w:rPr>
          <w:szCs w:val="24"/>
        </w:rPr>
      </w:pPr>
    </w:p>
    <w:p w14:paraId="56A9E534" w14:textId="617B848E" w:rsidR="00B21846" w:rsidRPr="00176B96" w:rsidRDefault="00B21846" w:rsidP="00176B96">
      <w:pPr>
        <w:rPr>
          <w:szCs w:val="24"/>
        </w:rPr>
      </w:pPr>
      <w:r>
        <w:rPr>
          <w:szCs w:val="24"/>
        </w:rPr>
        <w:t xml:space="preserve">In developing the proposals for each of the </w:t>
      </w:r>
      <w:r w:rsidR="00420111">
        <w:rPr>
          <w:szCs w:val="24"/>
        </w:rPr>
        <w:t>projects,</w:t>
      </w:r>
      <w:r>
        <w:rPr>
          <w:szCs w:val="24"/>
        </w:rPr>
        <w:t xml:space="preserve"> consideration has been given to ensure that they meet the council’s </w:t>
      </w:r>
      <w:r w:rsidRPr="000D5CA5">
        <w:rPr>
          <w:szCs w:val="24"/>
        </w:rPr>
        <w:t>public sector equality duty</w:t>
      </w:r>
      <w:r>
        <w:rPr>
          <w:szCs w:val="24"/>
        </w:rPr>
        <w:t xml:space="preserve">. </w:t>
      </w:r>
    </w:p>
    <w:p w14:paraId="735D81F2" w14:textId="7B5D8FCB" w:rsidR="00377569" w:rsidRPr="00AF31F7" w:rsidRDefault="00377569" w:rsidP="00AF31F7">
      <w:pPr>
        <w:pStyle w:val="Heading4"/>
        <w:spacing w:before="480"/>
        <w:rPr>
          <w:sz w:val="28"/>
          <w:szCs w:val="28"/>
        </w:rPr>
      </w:pPr>
      <w:r w:rsidRPr="00AF31F7">
        <w:rPr>
          <w:sz w:val="28"/>
          <w:szCs w:val="28"/>
        </w:rPr>
        <w:t>Council Priorities</w:t>
      </w:r>
    </w:p>
    <w:p w14:paraId="70980F51" w14:textId="2697AA1C" w:rsidR="00187FCC" w:rsidRDefault="00187FCC" w:rsidP="00377569">
      <w:pPr>
        <w:rPr>
          <w:rFonts w:cs="Arial"/>
          <w:szCs w:val="24"/>
          <w:lang w:val="en-US"/>
        </w:rPr>
      </w:pPr>
      <w:r>
        <w:rPr>
          <w:rFonts w:cs="Arial"/>
          <w:szCs w:val="24"/>
          <w:lang w:val="en-US"/>
        </w:rPr>
        <w:t xml:space="preserve">The section below </w:t>
      </w:r>
      <w:r w:rsidR="00307855">
        <w:rPr>
          <w:rFonts w:cs="Arial"/>
          <w:szCs w:val="24"/>
          <w:lang w:val="en-US"/>
        </w:rPr>
        <w:t>summarises</w:t>
      </w:r>
      <w:r>
        <w:rPr>
          <w:rFonts w:cs="Arial"/>
          <w:szCs w:val="24"/>
          <w:lang w:val="en-US"/>
        </w:rPr>
        <w:t xml:space="preserve"> how </w:t>
      </w:r>
      <w:r w:rsidR="00307855">
        <w:rPr>
          <w:rFonts w:cs="Arial"/>
          <w:szCs w:val="24"/>
          <w:lang w:val="en-US"/>
        </w:rPr>
        <w:t>the</w:t>
      </w:r>
      <w:r>
        <w:rPr>
          <w:rFonts w:cs="Arial"/>
          <w:szCs w:val="24"/>
          <w:lang w:val="en-US"/>
        </w:rPr>
        <w:t xml:space="preserve"> </w:t>
      </w:r>
      <w:r w:rsidR="00005C3C">
        <w:rPr>
          <w:rFonts w:cs="Arial"/>
          <w:szCs w:val="24"/>
          <w:lang w:val="en-US"/>
        </w:rPr>
        <w:t xml:space="preserve">various </w:t>
      </w:r>
      <w:r>
        <w:rPr>
          <w:rFonts w:cs="Arial"/>
          <w:szCs w:val="24"/>
          <w:lang w:val="en-US"/>
        </w:rPr>
        <w:t>project</w:t>
      </w:r>
      <w:r w:rsidR="00307855">
        <w:rPr>
          <w:rFonts w:cs="Arial"/>
          <w:szCs w:val="24"/>
          <w:lang w:val="en-US"/>
        </w:rPr>
        <w:t>s</w:t>
      </w:r>
      <w:r>
        <w:rPr>
          <w:rFonts w:cs="Arial"/>
          <w:szCs w:val="24"/>
          <w:lang w:val="en-US"/>
        </w:rPr>
        <w:t xml:space="preserve"> deliver in relation to the Council’s Corporate Plan</w:t>
      </w:r>
      <w:r w:rsidR="0069484E">
        <w:rPr>
          <w:rFonts w:cs="Arial"/>
          <w:szCs w:val="24"/>
          <w:lang w:val="en-US"/>
        </w:rPr>
        <w:t>.</w:t>
      </w:r>
    </w:p>
    <w:p w14:paraId="4D305329" w14:textId="77777777" w:rsidR="008A5F90" w:rsidRDefault="008A5F90" w:rsidP="008F467C">
      <w:pPr>
        <w:pStyle w:val="StyleListParagraphBold"/>
        <w:ind w:left="0"/>
        <w:rPr>
          <w:lang w:eastAsia="en-US"/>
        </w:rPr>
      </w:pPr>
    </w:p>
    <w:p w14:paraId="094F179A" w14:textId="77777777" w:rsidR="00377569" w:rsidRDefault="00377569" w:rsidP="008F467C">
      <w:pPr>
        <w:pStyle w:val="StyleListParagraphBold"/>
        <w:ind w:left="0"/>
      </w:pPr>
      <w:r w:rsidRPr="00752110">
        <w:t>A borough that is clean and safe</w:t>
      </w:r>
    </w:p>
    <w:tbl>
      <w:tblPr>
        <w:tblStyle w:val="TableGrid"/>
        <w:tblW w:w="8926" w:type="dxa"/>
        <w:tblLook w:val="04A0" w:firstRow="1" w:lastRow="0" w:firstColumn="1" w:lastColumn="0" w:noHBand="0" w:noVBand="1"/>
      </w:tblPr>
      <w:tblGrid>
        <w:gridCol w:w="2460"/>
        <w:gridCol w:w="3347"/>
        <w:gridCol w:w="3119"/>
      </w:tblGrid>
      <w:tr w:rsidR="008D505D" w14:paraId="33EE6ABC" w14:textId="77777777" w:rsidTr="00BE7A34">
        <w:tc>
          <w:tcPr>
            <w:tcW w:w="2460" w:type="dxa"/>
            <w:shd w:val="clear" w:color="auto" w:fill="D9D9D9" w:themeFill="background1" w:themeFillShade="D9"/>
          </w:tcPr>
          <w:p w14:paraId="63BAFF9E" w14:textId="59AD7330" w:rsidR="008D505D" w:rsidRPr="0044556A" w:rsidRDefault="008D505D" w:rsidP="008A5F90">
            <w:pPr>
              <w:pStyle w:val="ListParagraph"/>
              <w:ind w:left="0"/>
              <w:rPr>
                <w:b/>
                <w:bCs/>
              </w:rPr>
            </w:pPr>
            <w:r w:rsidRPr="0044556A">
              <w:rPr>
                <w:b/>
                <w:bCs/>
              </w:rPr>
              <w:t>Project Name</w:t>
            </w:r>
          </w:p>
        </w:tc>
        <w:tc>
          <w:tcPr>
            <w:tcW w:w="3347" w:type="dxa"/>
            <w:shd w:val="clear" w:color="auto" w:fill="D9D9D9" w:themeFill="background1" w:themeFillShade="D9"/>
          </w:tcPr>
          <w:p w14:paraId="5CFE3955" w14:textId="77777777" w:rsidR="00F535E3" w:rsidRPr="0044556A" w:rsidRDefault="008D505D" w:rsidP="008A5F90">
            <w:pPr>
              <w:pStyle w:val="ListParagraph"/>
              <w:ind w:left="0"/>
              <w:rPr>
                <w:b/>
                <w:bCs/>
              </w:rPr>
            </w:pPr>
            <w:r w:rsidRPr="0044556A">
              <w:rPr>
                <w:b/>
                <w:bCs/>
              </w:rPr>
              <w:t xml:space="preserve">Corporate Plan </w:t>
            </w:r>
          </w:p>
          <w:p w14:paraId="17ED44FD" w14:textId="145A0854" w:rsidR="008D505D" w:rsidRPr="0044556A" w:rsidRDefault="008D505D" w:rsidP="008A5F90">
            <w:pPr>
              <w:pStyle w:val="ListParagraph"/>
              <w:ind w:left="0"/>
              <w:rPr>
                <w:b/>
                <w:bCs/>
              </w:rPr>
            </w:pPr>
            <w:r w:rsidRPr="0044556A">
              <w:rPr>
                <w:b/>
                <w:bCs/>
              </w:rPr>
              <w:t>Action</w:t>
            </w:r>
          </w:p>
        </w:tc>
        <w:tc>
          <w:tcPr>
            <w:tcW w:w="3119" w:type="dxa"/>
            <w:shd w:val="clear" w:color="auto" w:fill="D9D9D9" w:themeFill="background1" w:themeFillShade="D9"/>
          </w:tcPr>
          <w:p w14:paraId="4337AEB7" w14:textId="77777777" w:rsidR="008D505D" w:rsidRPr="0044556A" w:rsidRDefault="008D505D" w:rsidP="008A5F90">
            <w:pPr>
              <w:pStyle w:val="ListParagraph"/>
              <w:ind w:left="0"/>
              <w:rPr>
                <w:b/>
                <w:bCs/>
              </w:rPr>
            </w:pPr>
            <w:r w:rsidRPr="0044556A">
              <w:rPr>
                <w:b/>
                <w:bCs/>
              </w:rPr>
              <w:t xml:space="preserve">Corporate Plan </w:t>
            </w:r>
          </w:p>
          <w:p w14:paraId="047C69AB" w14:textId="0B906F71" w:rsidR="00D63BEF" w:rsidRPr="0044556A" w:rsidRDefault="008D505D" w:rsidP="00D63BEF">
            <w:pPr>
              <w:pStyle w:val="ListParagraph"/>
              <w:ind w:left="0"/>
              <w:rPr>
                <w:b/>
                <w:bCs/>
              </w:rPr>
            </w:pPr>
            <w:r w:rsidRPr="0044556A">
              <w:rPr>
                <w:b/>
                <w:bCs/>
              </w:rPr>
              <w:t>Workstream</w:t>
            </w:r>
          </w:p>
        </w:tc>
      </w:tr>
      <w:tr w:rsidR="008D505D" w14:paraId="65EEAF6B" w14:textId="77777777" w:rsidTr="00637A2B">
        <w:tc>
          <w:tcPr>
            <w:tcW w:w="2460" w:type="dxa"/>
          </w:tcPr>
          <w:p w14:paraId="5C818F2E" w14:textId="382C643C" w:rsidR="008D505D" w:rsidRDefault="008D505D" w:rsidP="008A5F90">
            <w:pPr>
              <w:pStyle w:val="ListParagraph"/>
              <w:ind w:left="0"/>
            </w:pPr>
            <w:r w:rsidRPr="008D505D">
              <w:t>Harrow High Street Fund</w:t>
            </w:r>
          </w:p>
        </w:tc>
        <w:tc>
          <w:tcPr>
            <w:tcW w:w="3347" w:type="dxa"/>
          </w:tcPr>
          <w:p w14:paraId="715EAC3A" w14:textId="6BA2A218" w:rsidR="008D505D" w:rsidRDefault="008D505D" w:rsidP="008A5F90">
            <w:pPr>
              <w:pStyle w:val="ListParagraph"/>
              <w:ind w:left="0"/>
            </w:pPr>
            <w:r w:rsidRPr="008D505D">
              <w:t>Invest in the physical infrastructure of Harrow</w:t>
            </w:r>
          </w:p>
        </w:tc>
        <w:tc>
          <w:tcPr>
            <w:tcW w:w="3119" w:type="dxa"/>
          </w:tcPr>
          <w:p w14:paraId="58022913" w14:textId="5786A851" w:rsidR="00D63BEF" w:rsidRDefault="008D505D" w:rsidP="008A5F90">
            <w:pPr>
              <w:pStyle w:val="ListParagraph"/>
              <w:ind w:left="0"/>
            </w:pPr>
            <w:r w:rsidRPr="008D505D">
              <w:t>Improv</w:t>
            </w:r>
            <w:r w:rsidR="00466403">
              <w:t>e</w:t>
            </w:r>
            <w:r w:rsidRPr="008D505D">
              <w:t xml:space="preserve"> appearance of key district centres.</w:t>
            </w:r>
          </w:p>
        </w:tc>
      </w:tr>
      <w:tr w:rsidR="008D505D" w14:paraId="2C757B6B" w14:textId="77777777" w:rsidTr="00637A2B">
        <w:tc>
          <w:tcPr>
            <w:tcW w:w="2460" w:type="dxa"/>
          </w:tcPr>
          <w:p w14:paraId="10CC7CD5" w14:textId="0A17913A" w:rsidR="008D505D" w:rsidRDefault="00466403" w:rsidP="008A5F90">
            <w:pPr>
              <w:pStyle w:val="ListParagraph"/>
              <w:ind w:left="0"/>
            </w:pPr>
            <w:r w:rsidRPr="00466403">
              <w:t>Harrow Arts Centre - Phase 2</w:t>
            </w:r>
          </w:p>
        </w:tc>
        <w:tc>
          <w:tcPr>
            <w:tcW w:w="3347" w:type="dxa"/>
          </w:tcPr>
          <w:p w14:paraId="0FDDAC82" w14:textId="37254D33" w:rsidR="008D505D" w:rsidRDefault="00466403" w:rsidP="008A5F90">
            <w:pPr>
              <w:pStyle w:val="ListParagraph"/>
              <w:ind w:left="0"/>
            </w:pPr>
            <w:r w:rsidRPr="00466403">
              <w:t>Protecting the character of Harrow</w:t>
            </w:r>
          </w:p>
        </w:tc>
        <w:tc>
          <w:tcPr>
            <w:tcW w:w="3119" w:type="dxa"/>
          </w:tcPr>
          <w:p w14:paraId="462FA263" w14:textId="79BACA25" w:rsidR="008D505D" w:rsidRDefault="00A1476F" w:rsidP="00A1476F">
            <w:r>
              <w:t>C</w:t>
            </w:r>
            <w:r w:rsidR="00466403">
              <w:t>reation of new space for rent at Harrow Arts Centre.</w:t>
            </w:r>
          </w:p>
        </w:tc>
      </w:tr>
      <w:tr w:rsidR="00466403" w14:paraId="5802E8C4" w14:textId="77777777" w:rsidTr="00637A2B">
        <w:tc>
          <w:tcPr>
            <w:tcW w:w="2460" w:type="dxa"/>
          </w:tcPr>
          <w:p w14:paraId="75BB6091" w14:textId="1470ED20" w:rsidR="00220500" w:rsidRDefault="00A1476F" w:rsidP="00220500">
            <w:r w:rsidRPr="00A1476F">
              <w:t>Support to parks and open spaces</w:t>
            </w:r>
            <w:r w:rsidR="00220500">
              <w:t>/</w:t>
            </w:r>
            <w:r w:rsidR="00DE765D">
              <w:t xml:space="preserve"> </w:t>
            </w:r>
            <w:r w:rsidR="00220500">
              <w:t>Support for voluntary sector</w:t>
            </w:r>
          </w:p>
          <w:p w14:paraId="38F5E6F5" w14:textId="30749243" w:rsidR="00466403" w:rsidRPr="00466403" w:rsidRDefault="00466403" w:rsidP="008A5F90">
            <w:pPr>
              <w:pStyle w:val="ListParagraph"/>
              <w:ind w:left="0"/>
            </w:pPr>
          </w:p>
        </w:tc>
        <w:tc>
          <w:tcPr>
            <w:tcW w:w="3347" w:type="dxa"/>
          </w:tcPr>
          <w:p w14:paraId="4CAA05F7" w14:textId="36E865AF" w:rsidR="00466403" w:rsidRPr="00466403" w:rsidRDefault="00A1476F" w:rsidP="008A5F90">
            <w:pPr>
              <w:pStyle w:val="ListParagraph"/>
              <w:ind w:left="0"/>
            </w:pPr>
            <w:r w:rsidRPr="00A1476F">
              <w:t>Provide excellent green and cultural spaces for our residents</w:t>
            </w:r>
          </w:p>
        </w:tc>
        <w:tc>
          <w:tcPr>
            <w:tcW w:w="3119" w:type="dxa"/>
          </w:tcPr>
          <w:p w14:paraId="31B3C114" w14:textId="423F2CC4" w:rsidR="00466403" w:rsidRDefault="0044556A" w:rsidP="0044556A">
            <w:r>
              <w:t>Promote nature recovery on public land and parks increasing more trees and grow more wildflowers and biodiversity net gain</w:t>
            </w:r>
          </w:p>
        </w:tc>
      </w:tr>
      <w:tr w:rsidR="00466403" w14:paraId="203EA48F" w14:textId="77777777" w:rsidTr="00637A2B">
        <w:tc>
          <w:tcPr>
            <w:tcW w:w="2460" w:type="dxa"/>
          </w:tcPr>
          <w:p w14:paraId="68CE6F0F" w14:textId="4AA1C159" w:rsidR="00466403" w:rsidRPr="00466403" w:rsidRDefault="00E176B4" w:rsidP="008A5F90">
            <w:pPr>
              <w:pStyle w:val="ListParagraph"/>
              <w:ind w:left="0"/>
            </w:pPr>
            <w:r w:rsidRPr="00E176B4">
              <w:t>Harrow Cultural Assets (Archive &amp; Gallery)</w:t>
            </w:r>
          </w:p>
        </w:tc>
        <w:tc>
          <w:tcPr>
            <w:tcW w:w="3347" w:type="dxa"/>
          </w:tcPr>
          <w:p w14:paraId="29DF8B60" w14:textId="77777777" w:rsidR="00466403" w:rsidRDefault="00617636" w:rsidP="00E176B4">
            <w:r>
              <w:t>Provide excellent green and cultural spaces for our residents</w:t>
            </w:r>
          </w:p>
          <w:p w14:paraId="1B049097" w14:textId="77777777" w:rsidR="00165DDA" w:rsidRDefault="00165DDA" w:rsidP="00E176B4"/>
          <w:p w14:paraId="528792F3" w14:textId="192BB485" w:rsidR="00165DDA" w:rsidRPr="00466403" w:rsidRDefault="00165DDA" w:rsidP="00E176B4">
            <w:r w:rsidRPr="00466403">
              <w:t>Protecting the character of Harrow</w:t>
            </w:r>
          </w:p>
        </w:tc>
        <w:tc>
          <w:tcPr>
            <w:tcW w:w="3119" w:type="dxa"/>
          </w:tcPr>
          <w:p w14:paraId="361D61D3" w14:textId="566850E4" w:rsidR="00466403" w:rsidRDefault="008F467C" w:rsidP="00466403">
            <w:r>
              <w:t>Not applicable</w:t>
            </w:r>
          </w:p>
        </w:tc>
      </w:tr>
      <w:tr w:rsidR="001F4D0D" w14:paraId="48852A0C" w14:textId="77777777" w:rsidTr="00637A2B">
        <w:tc>
          <w:tcPr>
            <w:tcW w:w="2460" w:type="dxa"/>
          </w:tcPr>
          <w:p w14:paraId="0304BA5E" w14:textId="61B1B042" w:rsidR="001F4D0D" w:rsidRPr="00E176B4" w:rsidRDefault="001F4D0D" w:rsidP="008A5F90">
            <w:pPr>
              <w:pStyle w:val="ListParagraph"/>
              <w:ind w:left="0"/>
            </w:pPr>
            <w:r>
              <w:t>Business Engagement</w:t>
            </w:r>
          </w:p>
        </w:tc>
        <w:tc>
          <w:tcPr>
            <w:tcW w:w="3347" w:type="dxa"/>
          </w:tcPr>
          <w:p w14:paraId="676E5674" w14:textId="56131CD0" w:rsidR="001F4D0D" w:rsidRDefault="001F4D0D" w:rsidP="001F4D0D">
            <w:r>
              <w:t>Improve business engagement</w:t>
            </w:r>
          </w:p>
        </w:tc>
        <w:tc>
          <w:tcPr>
            <w:tcW w:w="3119" w:type="dxa"/>
          </w:tcPr>
          <w:p w14:paraId="0EF783BA" w14:textId="080A5844" w:rsidR="001F4D0D" w:rsidRDefault="008F467C" w:rsidP="00466403">
            <w:r w:rsidRPr="008F467C">
              <w:t>Not applicable</w:t>
            </w:r>
          </w:p>
        </w:tc>
      </w:tr>
    </w:tbl>
    <w:p w14:paraId="56455BC4" w14:textId="77777777" w:rsidR="008D505D" w:rsidRDefault="008D505D" w:rsidP="008A5F90">
      <w:pPr>
        <w:pStyle w:val="ListParagraph"/>
      </w:pPr>
    </w:p>
    <w:p w14:paraId="23753281" w14:textId="77777777" w:rsidR="00377569" w:rsidRDefault="00377569" w:rsidP="008F467C">
      <w:pPr>
        <w:pStyle w:val="StyleListParagraphBold"/>
        <w:ind w:left="0"/>
      </w:pPr>
      <w:r w:rsidRPr="00752110">
        <w:t>A place where those in need are supported</w:t>
      </w:r>
    </w:p>
    <w:tbl>
      <w:tblPr>
        <w:tblStyle w:val="TableGrid"/>
        <w:tblW w:w="8926" w:type="dxa"/>
        <w:tblLook w:val="04A0" w:firstRow="1" w:lastRow="0" w:firstColumn="1" w:lastColumn="0" w:noHBand="0" w:noVBand="1"/>
      </w:tblPr>
      <w:tblGrid>
        <w:gridCol w:w="2482"/>
        <w:gridCol w:w="3325"/>
        <w:gridCol w:w="3119"/>
      </w:tblGrid>
      <w:tr w:rsidR="00307855" w14:paraId="6397F17D" w14:textId="77777777" w:rsidTr="00BE7A34">
        <w:tc>
          <w:tcPr>
            <w:tcW w:w="2482" w:type="dxa"/>
            <w:shd w:val="clear" w:color="auto" w:fill="D9D9D9" w:themeFill="background1" w:themeFillShade="D9"/>
          </w:tcPr>
          <w:p w14:paraId="472B2138" w14:textId="77777777" w:rsidR="00307855" w:rsidRPr="00200367" w:rsidRDefault="00307855">
            <w:pPr>
              <w:pStyle w:val="ListParagraph"/>
              <w:ind w:left="0"/>
              <w:rPr>
                <w:b/>
                <w:bCs/>
              </w:rPr>
            </w:pPr>
            <w:r w:rsidRPr="00200367">
              <w:rPr>
                <w:b/>
                <w:bCs/>
              </w:rPr>
              <w:t>Project Name</w:t>
            </w:r>
          </w:p>
        </w:tc>
        <w:tc>
          <w:tcPr>
            <w:tcW w:w="3325" w:type="dxa"/>
            <w:shd w:val="clear" w:color="auto" w:fill="D9D9D9" w:themeFill="background1" w:themeFillShade="D9"/>
          </w:tcPr>
          <w:p w14:paraId="5CA64346" w14:textId="77777777" w:rsidR="00307855" w:rsidRPr="00200367" w:rsidRDefault="00307855">
            <w:pPr>
              <w:pStyle w:val="ListParagraph"/>
              <w:ind w:left="0"/>
              <w:rPr>
                <w:b/>
                <w:bCs/>
              </w:rPr>
            </w:pPr>
            <w:r w:rsidRPr="00200367">
              <w:rPr>
                <w:b/>
                <w:bCs/>
              </w:rPr>
              <w:t>Corporate Plan Action</w:t>
            </w:r>
          </w:p>
        </w:tc>
        <w:tc>
          <w:tcPr>
            <w:tcW w:w="3119" w:type="dxa"/>
            <w:shd w:val="clear" w:color="auto" w:fill="D9D9D9" w:themeFill="background1" w:themeFillShade="D9"/>
          </w:tcPr>
          <w:p w14:paraId="716FBDC7" w14:textId="77777777" w:rsidR="00307855" w:rsidRPr="00200367" w:rsidRDefault="00307855">
            <w:pPr>
              <w:pStyle w:val="ListParagraph"/>
              <w:ind w:left="0"/>
              <w:rPr>
                <w:b/>
                <w:bCs/>
              </w:rPr>
            </w:pPr>
            <w:r w:rsidRPr="00200367">
              <w:rPr>
                <w:b/>
                <w:bCs/>
              </w:rPr>
              <w:t xml:space="preserve">Corporate Plan </w:t>
            </w:r>
          </w:p>
          <w:p w14:paraId="66D063F7" w14:textId="33FABAA9" w:rsidR="00307855" w:rsidRPr="00200367" w:rsidRDefault="00307855">
            <w:pPr>
              <w:pStyle w:val="ListParagraph"/>
              <w:ind w:left="0"/>
              <w:rPr>
                <w:b/>
                <w:bCs/>
              </w:rPr>
            </w:pPr>
            <w:r w:rsidRPr="00200367">
              <w:rPr>
                <w:b/>
                <w:bCs/>
              </w:rPr>
              <w:t>Workstream</w:t>
            </w:r>
            <w:r w:rsidR="008016E6">
              <w:rPr>
                <w:b/>
                <w:bCs/>
              </w:rPr>
              <w:t xml:space="preserve"> </w:t>
            </w:r>
          </w:p>
        </w:tc>
      </w:tr>
      <w:tr w:rsidR="00307855" w14:paraId="0F945454" w14:textId="77777777" w:rsidTr="00637A2B">
        <w:tc>
          <w:tcPr>
            <w:tcW w:w="2482" w:type="dxa"/>
          </w:tcPr>
          <w:p w14:paraId="571844CA" w14:textId="77777777" w:rsidR="00307855" w:rsidRDefault="00307855">
            <w:pPr>
              <w:pStyle w:val="ListParagraph"/>
              <w:ind w:left="0"/>
            </w:pPr>
            <w:r w:rsidRPr="00307855">
              <w:t>Energy advice &amp; cost of living project</w:t>
            </w:r>
          </w:p>
        </w:tc>
        <w:tc>
          <w:tcPr>
            <w:tcW w:w="3325" w:type="dxa"/>
          </w:tcPr>
          <w:p w14:paraId="5913E74D" w14:textId="77777777" w:rsidR="00307855" w:rsidRDefault="00307855">
            <w:r>
              <w:t>Target support to help residents out of financial hardship</w:t>
            </w:r>
          </w:p>
        </w:tc>
        <w:tc>
          <w:tcPr>
            <w:tcW w:w="3119" w:type="dxa"/>
          </w:tcPr>
          <w:p w14:paraId="6B9D60B8" w14:textId="285DECE9" w:rsidR="008016E6" w:rsidRDefault="00307855">
            <w:r>
              <w:t>Information, Advice &amp; advocacy strategy</w:t>
            </w:r>
          </w:p>
        </w:tc>
      </w:tr>
      <w:tr w:rsidR="006C56EF" w14:paraId="6CF6E866" w14:textId="77777777" w:rsidTr="00637A2B">
        <w:tc>
          <w:tcPr>
            <w:tcW w:w="2482" w:type="dxa"/>
          </w:tcPr>
          <w:p w14:paraId="1093378B" w14:textId="5002BB47" w:rsidR="006C56EF" w:rsidRPr="00307855" w:rsidRDefault="001A37AC">
            <w:pPr>
              <w:pStyle w:val="ListParagraph"/>
              <w:ind w:left="0"/>
            </w:pPr>
            <w:r>
              <w:t>Re-use laptop and mobile phone start up kit</w:t>
            </w:r>
          </w:p>
        </w:tc>
        <w:tc>
          <w:tcPr>
            <w:tcW w:w="3325" w:type="dxa"/>
          </w:tcPr>
          <w:p w14:paraId="7AC6825F" w14:textId="4B74CAF8" w:rsidR="006C56EF" w:rsidRDefault="00E419FD">
            <w:r w:rsidRPr="00E419FD">
              <w:t>Target support to help residents out of financial hardship</w:t>
            </w:r>
          </w:p>
        </w:tc>
        <w:tc>
          <w:tcPr>
            <w:tcW w:w="3119" w:type="dxa"/>
          </w:tcPr>
          <w:p w14:paraId="2C845D2A" w14:textId="0F5EC553" w:rsidR="006C56EF" w:rsidRDefault="008F467C">
            <w:r w:rsidRPr="008F467C">
              <w:t>Not applicable</w:t>
            </w:r>
          </w:p>
        </w:tc>
      </w:tr>
    </w:tbl>
    <w:p w14:paraId="5A674767" w14:textId="77777777" w:rsidR="00307855" w:rsidRPr="00752110" w:rsidRDefault="00307855" w:rsidP="008A5F90">
      <w:pPr>
        <w:pStyle w:val="StyleListParagraphBold"/>
        <w:ind w:left="0"/>
      </w:pPr>
    </w:p>
    <w:p w14:paraId="3D9AFD69" w14:textId="77777777" w:rsidR="00BE7A34" w:rsidRDefault="00BE7A34" w:rsidP="000B7C66">
      <w:pPr>
        <w:pStyle w:val="Heading2"/>
        <w:spacing w:before="480" w:after="240"/>
      </w:pPr>
    </w:p>
    <w:p w14:paraId="5514D939" w14:textId="6420138D" w:rsidR="00333FAA" w:rsidRDefault="00333FAA" w:rsidP="000B7C66">
      <w:pPr>
        <w:pStyle w:val="Heading2"/>
        <w:spacing w:before="480" w:after="240"/>
      </w:pPr>
      <w:r>
        <w:lastRenderedPageBreak/>
        <w:t>Section 3 - Statutory Officer Clearance</w:t>
      </w:r>
    </w:p>
    <w:p w14:paraId="3B5D52F9" w14:textId="4D150C74" w:rsidR="00A66326" w:rsidRPr="00A66326" w:rsidRDefault="00A66326" w:rsidP="00A66326">
      <w:pPr>
        <w:rPr>
          <w:sz w:val="28"/>
        </w:rPr>
      </w:pPr>
      <w:r w:rsidRPr="00A66326">
        <w:rPr>
          <w:b/>
          <w:sz w:val="28"/>
        </w:rPr>
        <w:t xml:space="preserve">Statutory Officer:  </w:t>
      </w:r>
      <w:r w:rsidR="00125B3D">
        <w:rPr>
          <w:b/>
          <w:sz w:val="28"/>
        </w:rPr>
        <w:t>Dawn Calvert</w:t>
      </w:r>
    </w:p>
    <w:p w14:paraId="06450070" w14:textId="73B3C8CF" w:rsidR="00A66326" w:rsidRPr="00A66326" w:rsidRDefault="00A66326" w:rsidP="00A66326">
      <w:r w:rsidRPr="00A66326">
        <w:t xml:space="preserve">Signed </w:t>
      </w:r>
      <w:r w:rsidR="009F744A">
        <w:t xml:space="preserve">by </w:t>
      </w:r>
      <w:r w:rsidRPr="00A66326">
        <w:t>the Chief Financial Officer</w:t>
      </w:r>
    </w:p>
    <w:p w14:paraId="555021EF" w14:textId="3EEE5A94" w:rsidR="00A66326" w:rsidRPr="00A66326" w:rsidRDefault="00A66326" w:rsidP="00A66326">
      <w:pPr>
        <w:spacing w:after="480"/>
        <w:rPr>
          <w:sz w:val="28"/>
        </w:rPr>
      </w:pPr>
      <w:r w:rsidRPr="00A66326">
        <w:rPr>
          <w:b/>
          <w:sz w:val="28"/>
        </w:rPr>
        <w:t>Date:</w:t>
      </w:r>
      <w:r w:rsidR="007547FB">
        <w:rPr>
          <w:b/>
          <w:sz w:val="28"/>
        </w:rPr>
        <w:t xml:space="preserve"> </w:t>
      </w:r>
      <w:r w:rsidR="00420111">
        <w:rPr>
          <w:b/>
          <w:sz w:val="28"/>
        </w:rPr>
        <w:t>0</w:t>
      </w:r>
      <w:r w:rsidR="007547FB">
        <w:rPr>
          <w:b/>
          <w:sz w:val="28"/>
        </w:rPr>
        <w:t>2/</w:t>
      </w:r>
      <w:r w:rsidR="00420111">
        <w:rPr>
          <w:b/>
          <w:sz w:val="28"/>
        </w:rPr>
        <w:t>0</w:t>
      </w:r>
      <w:r w:rsidR="007547FB">
        <w:rPr>
          <w:b/>
          <w:sz w:val="28"/>
        </w:rPr>
        <w:t>3</w:t>
      </w:r>
      <w:r w:rsidR="005E223C">
        <w:rPr>
          <w:b/>
          <w:sz w:val="28"/>
        </w:rPr>
        <w:t>/</w:t>
      </w:r>
      <w:r w:rsidR="007547FB">
        <w:rPr>
          <w:b/>
          <w:sz w:val="28"/>
        </w:rPr>
        <w:t>23</w:t>
      </w:r>
    </w:p>
    <w:p w14:paraId="7E329E85" w14:textId="0B9127B2" w:rsidR="00A66326" w:rsidRPr="00A66326" w:rsidRDefault="00A66326" w:rsidP="6B9560E0">
      <w:pPr>
        <w:rPr>
          <w:sz w:val="28"/>
          <w:szCs w:val="28"/>
        </w:rPr>
      </w:pPr>
      <w:r w:rsidRPr="6B9560E0">
        <w:rPr>
          <w:b/>
          <w:bCs/>
          <w:sz w:val="28"/>
          <w:szCs w:val="28"/>
        </w:rPr>
        <w:t>Statutory Officer:</w:t>
      </w:r>
      <w:r w:rsidR="67BA90A6" w:rsidRPr="6B9560E0">
        <w:rPr>
          <w:b/>
          <w:bCs/>
          <w:sz w:val="28"/>
          <w:szCs w:val="28"/>
        </w:rPr>
        <w:t xml:space="preserve"> Puja Shah</w:t>
      </w:r>
      <w:r w:rsidRPr="6B9560E0">
        <w:rPr>
          <w:b/>
          <w:bCs/>
          <w:sz w:val="28"/>
          <w:szCs w:val="28"/>
        </w:rPr>
        <w:t xml:space="preserve">  </w:t>
      </w:r>
    </w:p>
    <w:p w14:paraId="76F84634" w14:textId="5F39F8D1" w:rsidR="00A66326" w:rsidRPr="00A66326" w:rsidRDefault="00A66326" w:rsidP="00A66326">
      <w:r>
        <w:t>Signed on behalf of the Monitoring Officer</w:t>
      </w:r>
    </w:p>
    <w:p w14:paraId="1AC0D358" w14:textId="73D58903" w:rsidR="00A66326" w:rsidRPr="003313EA" w:rsidRDefault="00A66326" w:rsidP="6B9560E0">
      <w:pPr>
        <w:spacing w:after="480"/>
        <w:rPr>
          <w:sz w:val="28"/>
          <w:szCs w:val="28"/>
        </w:rPr>
      </w:pPr>
      <w:r w:rsidRPr="6B9560E0">
        <w:rPr>
          <w:b/>
          <w:bCs/>
          <w:sz w:val="28"/>
          <w:szCs w:val="28"/>
        </w:rPr>
        <w:t xml:space="preserve">Date:  </w:t>
      </w:r>
      <w:r w:rsidR="4911BB4B" w:rsidRPr="6B9560E0">
        <w:rPr>
          <w:b/>
          <w:bCs/>
          <w:sz w:val="28"/>
          <w:szCs w:val="28"/>
        </w:rPr>
        <w:t>23/</w:t>
      </w:r>
      <w:r w:rsidR="00420111">
        <w:rPr>
          <w:b/>
          <w:bCs/>
          <w:sz w:val="28"/>
          <w:szCs w:val="28"/>
        </w:rPr>
        <w:t>0</w:t>
      </w:r>
      <w:r w:rsidR="4911BB4B" w:rsidRPr="6B9560E0">
        <w:rPr>
          <w:b/>
          <w:bCs/>
          <w:sz w:val="28"/>
          <w:szCs w:val="28"/>
        </w:rPr>
        <w:t>2/23</w:t>
      </w:r>
    </w:p>
    <w:p w14:paraId="31D8FA55" w14:textId="6C2E45D3" w:rsidR="00BF5AFA" w:rsidRPr="00A66326" w:rsidRDefault="00BF5AFA" w:rsidP="00BF5AFA">
      <w:pPr>
        <w:rPr>
          <w:sz w:val="28"/>
        </w:rPr>
      </w:pPr>
      <w:r>
        <w:rPr>
          <w:b/>
          <w:sz w:val="28"/>
        </w:rPr>
        <w:t>Chief</w:t>
      </w:r>
      <w:r w:rsidRPr="00A66326">
        <w:rPr>
          <w:b/>
          <w:sz w:val="28"/>
        </w:rPr>
        <w:t xml:space="preserve"> Officer: </w:t>
      </w:r>
      <w:r w:rsidR="007547FB">
        <w:rPr>
          <w:b/>
          <w:sz w:val="28"/>
        </w:rPr>
        <w:t>Dipti Patel</w:t>
      </w:r>
    </w:p>
    <w:p w14:paraId="6C086558" w14:textId="36E018B7" w:rsidR="00BF5AFA" w:rsidRPr="00A66326" w:rsidRDefault="00BF5AFA" w:rsidP="00BF5AFA">
      <w:r w:rsidRPr="00A66326">
        <w:t xml:space="preserve">Signed </w:t>
      </w:r>
      <w:r>
        <w:t>off by the Corporate Director</w:t>
      </w:r>
    </w:p>
    <w:p w14:paraId="5F67CDF0" w14:textId="6D6C6E6F" w:rsidR="00BF5AFA" w:rsidRPr="00A66326" w:rsidRDefault="00BF5AFA" w:rsidP="00BF5AFA">
      <w:pPr>
        <w:spacing w:after="480"/>
        <w:rPr>
          <w:sz w:val="28"/>
        </w:rPr>
      </w:pPr>
      <w:r w:rsidRPr="00A66326">
        <w:rPr>
          <w:b/>
          <w:sz w:val="28"/>
        </w:rPr>
        <w:t xml:space="preserve">Date:  </w:t>
      </w:r>
      <w:r w:rsidR="00420111">
        <w:rPr>
          <w:b/>
          <w:sz w:val="28"/>
        </w:rPr>
        <w:t>0</w:t>
      </w:r>
      <w:r w:rsidR="00BA2F91">
        <w:rPr>
          <w:b/>
          <w:sz w:val="28"/>
        </w:rPr>
        <w:t>3/</w:t>
      </w:r>
      <w:r w:rsidR="00420111">
        <w:rPr>
          <w:b/>
          <w:sz w:val="28"/>
        </w:rPr>
        <w:t>0</w:t>
      </w:r>
      <w:r w:rsidR="00BA2F91">
        <w:rPr>
          <w:b/>
          <w:sz w:val="28"/>
        </w:rPr>
        <w:t>3/23</w:t>
      </w:r>
    </w:p>
    <w:p w14:paraId="2C546334" w14:textId="3FC69CB7" w:rsidR="00BF5AFA" w:rsidRPr="00A66326" w:rsidRDefault="00BF5AFA" w:rsidP="00BF5AFA">
      <w:pPr>
        <w:rPr>
          <w:sz w:val="28"/>
        </w:rPr>
      </w:pPr>
      <w:r>
        <w:rPr>
          <w:b/>
          <w:sz w:val="28"/>
        </w:rPr>
        <w:t>Head of Procurement</w:t>
      </w:r>
      <w:r w:rsidRPr="00A66326">
        <w:rPr>
          <w:b/>
          <w:sz w:val="28"/>
        </w:rPr>
        <w:t xml:space="preserve">:  </w:t>
      </w:r>
      <w:r w:rsidR="000654E1">
        <w:rPr>
          <w:b/>
          <w:sz w:val="28"/>
        </w:rPr>
        <w:t>Nimesh Mehta</w:t>
      </w:r>
    </w:p>
    <w:p w14:paraId="3C6E94C3" w14:textId="5915B422" w:rsidR="00BF5AFA" w:rsidRPr="00A66326" w:rsidRDefault="00BF5AFA" w:rsidP="00BF5AFA">
      <w:r w:rsidRPr="00A66326">
        <w:t xml:space="preserve">Signed by the </w:t>
      </w:r>
      <w:r>
        <w:t>Head of Procurement</w:t>
      </w:r>
    </w:p>
    <w:p w14:paraId="5A683B65" w14:textId="6BF7B01C" w:rsidR="00BF5AFA" w:rsidRPr="003313EA" w:rsidRDefault="00BF5AFA" w:rsidP="00BF5AFA">
      <w:pPr>
        <w:spacing w:after="480"/>
        <w:rPr>
          <w:sz w:val="28"/>
        </w:rPr>
      </w:pPr>
      <w:r w:rsidRPr="00A66326">
        <w:rPr>
          <w:b/>
          <w:sz w:val="28"/>
        </w:rPr>
        <w:t xml:space="preserve">Date: </w:t>
      </w:r>
      <w:r w:rsidR="000654E1">
        <w:rPr>
          <w:b/>
          <w:sz w:val="28"/>
        </w:rPr>
        <w:t>21/</w:t>
      </w:r>
      <w:r w:rsidR="00420111">
        <w:rPr>
          <w:b/>
          <w:sz w:val="28"/>
        </w:rPr>
        <w:t>0</w:t>
      </w:r>
      <w:r w:rsidR="000654E1">
        <w:rPr>
          <w:b/>
          <w:sz w:val="28"/>
        </w:rPr>
        <w:t>2/23</w:t>
      </w:r>
    </w:p>
    <w:p w14:paraId="113297A5" w14:textId="2F976A9F" w:rsidR="00BF5AFA" w:rsidRPr="00A66326" w:rsidRDefault="00BF5AFA" w:rsidP="00BF5AFA">
      <w:pPr>
        <w:rPr>
          <w:sz w:val="28"/>
        </w:rPr>
      </w:pPr>
      <w:r>
        <w:rPr>
          <w:b/>
          <w:sz w:val="28"/>
        </w:rPr>
        <w:t>Head of Internal Audit</w:t>
      </w:r>
      <w:r w:rsidRPr="00A66326">
        <w:rPr>
          <w:b/>
          <w:sz w:val="28"/>
        </w:rPr>
        <w:t xml:space="preserve">: </w:t>
      </w:r>
      <w:r w:rsidR="00662434">
        <w:rPr>
          <w:b/>
          <w:sz w:val="28"/>
        </w:rPr>
        <w:t xml:space="preserve">Neale Burns </w:t>
      </w:r>
      <w:r w:rsidRPr="00A66326">
        <w:rPr>
          <w:b/>
          <w:sz w:val="28"/>
        </w:rPr>
        <w:t xml:space="preserve"> </w:t>
      </w:r>
    </w:p>
    <w:p w14:paraId="55752640" w14:textId="5FCD8F1A" w:rsidR="00B739AD" w:rsidRDefault="00B739AD" w:rsidP="00B739AD">
      <w:pPr>
        <w:rPr>
          <w:rFonts w:asciiTheme="minorHAnsi" w:hAnsiTheme="minorHAnsi"/>
        </w:rPr>
      </w:pPr>
      <w:r>
        <w:t xml:space="preserve">Signed on behalf of the Head of Internal Audit </w:t>
      </w:r>
    </w:p>
    <w:p w14:paraId="065BF29C" w14:textId="561DA9DC" w:rsidR="00BF5AFA" w:rsidRDefault="00BF5AFA" w:rsidP="00BF5AFA">
      <w:pPr>
        <w:pStyle w:val="Heading2"/>
        <w:spacing w:after="240"/>
        <w:rPr>
          <w:rFonts w:ascii="Arial" w:hAnsi="Arial" w:cs="Times New Roman"/>
          <w:bCs w:val="0"/>
          <w:sz w:val="28"/>
          <w:szCs w:val="20"/>
        </w:rPr>
      </w:pPr>
      <w:r w:rsidRPr="00420111">
        <w:rPr>
          <w:rFonts w:ascii="Arial" w:hAnsi="Arial" w:cs="Times New Roman"/>
          <w:bCs w:val="0"/>
          <w:sz w:val="28"/>
          <w:szCs w:val="20"/>
        </w:rPr>
        <w:t>Date:</w:t>
      </w:r>
      <w:r w:rsidR="00662434" w:rsidRPr="00420111">
        <w:rPr>
          <w:rFonts w:ascii="Arial" w:hAnsi="Arial" w:cs="Times New Roman"/>
          <w:bCs w:val="0"/>
          <w:sz w:val="28"/>
          <w:szCs w:val="20"/>
        </w:rPr>
        <w:t xml:space="preserve"> 0</w:t>
      </w:r>
      <w:r w:rsidR="00B739AD" w:rsidRPr="00420111">
        <w:rPr>
          <w:rFonts w:ascii="Arial" w:hAnsi="Arial" w:cs="Times New Roman"/>
          <w:bCs w:val="0"/>
          <w:sz w:val="28"/>
          <w:szCs w:val="20"/>
        </w:rPr>
        <w:t xml:space="preserve">2/03/23 </w:t>
      </w:r>
    </w:p>
    <w:p w14:paraId="645C0C0F" w14:textId="0FB535D9" w:rsidR="00BE7A34" w:rsidRPr="00F42E1E" w:rsidRDefault="00BE7A34" w:rsidP="00BE7A34">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2E8E750F" w14:textId="5C74C888" w:rsidR="003313EA" w:rsidRPr="00420111" w:rsidRDefault="003313EA" w:rsidP="00F740BB">
      <w:pPr>
        <w:pStyle w:val="Heading3"/>
        <w:ind w:left="0" w:firstLine="0"/>
        <w:jc w:val="left"/>
        <w:rPr>
          <w:b w:val="0"/>
          <w:bCs w:val="0"/>
        </w:rPr>
      </w:pPr>
      <w:r w:rsidRPr="003313EA">
        <w:t xml:space="preserve">Ward Councillors </w:t>
      </w:r>
      <w:r>
        <w:t xml:space="preserve">notified:  </w:t>
      </w:r>
      <w:r w:rsidRPr="00420111">
        <w:rPr>
          <w:b w:val="0"/>
          <w:bCs w:val="0"/>
        </w:rPr>
        <w:t>NO as it impacts on all Wards</w:t>
      </w:r>
    </w:p>
    <w:p w14:paraId="2A2D9472" w14:textId="4CF5522E" w:rsidR="003313EA" w:rsidRPr="00202D79" w:rsidRDefault="003313EA" w:rsidP="003313EA">
      <w:pPr>
        <w:pStyle w:val="Heading3"/>
        <w:spacing w:before="240"/>
        <w:rPr>
          <w:b w:val="0"/>
        </w:rPr>
      </w:pPr>
      <w:r w:rsidRPr="00202D79">
        <w:t>EqIA carried out:</w:t>
      </w:r>
      <w:r>
        <w:t xml:space="preserve">  </w:t>
      </w:r>
      <w:r w:rsidRPr="00420111">
        <w:rPr>
          <w:b w:val="0"/>
          <w:bCs w:val="0"/>
        </w:rPr>
        <w:t>YES</w:t>
      </w:r>
    </w:p>
    <w:p w14:paraId="6B589F3A" w14:textId="728F4F07" w:rsidR="003313EA" w:rsidRPr="00303FD6" w:rsidRDefault="003313EA" w:rsidP="00C54741">
      <w:pPr>
        <w:pStyle w:val="Heading3"/>
        <w:spacing w:before="240"/>
        <w:ind w:left="0" w:firstLine="0"/>
        <w:jc w:val="left"/>
        <w:rPr>
          <w:color w:val="FF0000"/>
        </w:rPr>
      </w:pPr>
      <w:r w:rsidRPr="00202D79">
        <w:t>EqIA cleared by:</w:t>
      </w:r>
      <w:r>
        <w:t xml:space="preserve"> </w:t>
      </w:r>
      <w:r w:rsidR="00932593" w:rsidRPr="00420111">
        <w:rPr>
          <w:b w:val="0"/>
          <w:bCs w:val="0"/>
        </w:rPr>
        <w:t>Yasmeen Hussein 16/12/22</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0AE83D0" w:rsidR="00333FAA" w:rsidRPr="00E74462" w:rsidRDefault="00333FAA" w:rsidP="00CC18AC">
      <w:pPr>
        <w:pStyle w:val="Infotext"/>
        <w:spacing w:after="240"/>
        <w:rPr>
          <w:bCs/>
          <w:color w:val="FF0000"/>
        </w:rPr>
      </w:pPr>
      <w:r w:rsidRPr="004E47FC">
        <w:rPr>
          <w:b/>
        </w:rPr>
        <w:t xml:space="preserve">Contact: </w:t>
      </w:r>
      <w:r w:rsidR="00E74462">
        <w:rPr>
          <w:bCs/>
        </w:rPr>
        <w:t xml:space="preserve">David Sklair – External Funding Manager </w:t>
      </w:r>
      <w:hyperlink r:id="rId13" w:history="1">
        <w:r w:rsidR="00420111" w:rsidRPr="00400C69">
          <w:rPr>
            <w:rStyle w:val="Hyperlink"/>
            <w:bCs/>
          </w:rPr>
          <w:t>David.Sklair@harrow.gov.uk</w:t>
        </w:r>
      </w:hyperlink>
      <w:r w:rsidR="00420111">
        <w:rPr>
          <w:bCs/>
        </w:rPr>
        <w:t xml:space="preserve"> </w:t>
      </w:r>
    </w:p>
    <w:p w14:paraId="5643A7F9" w14:textId="27DAAAFE" w:rsidR="005718B5" w:rsidRPr="00DA33FF" w:rsidRDefault="00333FAA" w:rsidP="00F526E4">
      <w:pPr>
        <w:pStyle w:val="Infotext"/>
        <w:spacing w:after="240"/>
        <w:rPr>
          <w:rFonts w:ascii="Calibri" w:hAnsi="Calibri"/>
          <w:color w:val="FF0000"/>
          <w:sz w:val="20"/>
          <w:lang w:eastAsia="en-GB"/>
        </w:rPr>
      </w:pPr>
      <w:r w:rsidRPr="004E47FC">
        <w:rPr>
          <w:b/>
        </w:rPr>
        <w:t>Background Papers:</w:t>
      </w:r>
    </w:p>
    <w:p w14:paraId="49314A99" w14:textId="1B67A5C7" w:rsidR="00DA33FF" w:rsidRPr="00420111" w:rsidRDefault="00250AC8" w:rsidP="00420111">
      <w:pPr>
        <w:pStyle w:val="ListParagraph"/>
        <w:numPr>
          <w:ilvl w:val="0"/>
          <w:numId w:val="17"/>
        </w:numPr>
        <w:rPr>
          <w:rFonts w:cs="Arial"/>
          <w:szCs w:val="24"/>
          <w:lang w:eastAsia="en-GB"/>
        </w:rPr>
      </w:pPr>
      <w:r w:rsidRPr="00420111">
        <w:rPr>
          <w:rFonts w:cs="Arial"/>
          <w:szCs w:val="24"/>
          <w:lang w:eastAsia="en-GB"/>
        </w:rPr>
        <w:t>UKSPF Borough Proposal Template Communities &amp; Place Harrow</w:t>
      </w:r>
    </w:p>
    <w:p w14:paraId="2B7FE4B9" w14:textId="2C733382" w:rsidR="005B779E" w:rsidRPr="00420111" w:rsidRDefault="005B779E" w:rsidP="00420111">
      <w:pPr>
        <w:pStyle w:val="ListParagraph"/>
        <w:numPr>
          <w:ilvl w:val="0"/>
          <w:numId w:val="17"/>
        </w:numPr>
        <w:rPr>
          <w:rFonts w:cs="Arial"/>
          <w:szCs w:val="24"/>
          <w:lang w:eastAsia="en-GB"/>
        </w:rPr>
      </w:pPr>
      <w:r w:rsidRPr="00420111">
        <w:rPr>
          <w:rFonts w:cs="Arial"/>
          <w:szCs w:val="24"/>
          <w:lang w:eastAsia="en-GB"/>
        </w:rPr>
        <w:t>UKSPF Borough Proposal Template Support Local Business Harrow</w:t>
      </w:r>
    </w:p>
    <w:p w14:paraId="40BD3E69" w14:textId="56C80BE8" w:rsidR="005B779E" w:rsidRPr="00420111" w:rsidRDefault="005B779E" w:rsidP="00420111">
      <w:pPr>
        <w:pStyle w:val="ListParagraph"/>
        <w:numPr>
          <w:ilvl w:val="0"/>
          <w:numId w:val="17"/>
        </w:numPr>
        <w:rPr>
          <w:rFonts w:cs="Arial"/>
          <w:szCs w:val="24"/>
          <w:lang w:eastAsia="en-GB"/>
        </w:rPr>
      </w:pPr>
      <w:r w:rsidRPr="00420111">
        <w:rPr>
          <w:rFonts w:cs="Arial"/>
          <w:szCs w:val="24"/>
          <w:lang w:eastAsia="en-GB"/>
        </w:rPr>
        <w:t>LB Harrow Quarterly Profile v2</w:t>
      </w:r>
    </w:p>
    <w:p w14:paraId="16C09CC9" w14:textId="2237FD63" w:rsidR="00F526E4" w:rsidRPr="00420111" w:rsidRDefault="00F526E4" w:rsidP="00420111">
      <w:pPr>
        <w:pStyle w:val="ListParagraph"/>
        <w:numPr>
          <w:ilvl w:val="0"/>
          <w:numId w:val="17"/>
        </w:numPr>
        <w:rPr>
          <w:rFonts w:cs="Arial"/>
          <w:szCs w:val="24"/>
          <w:lang w:eastAsia="en-GB"/>
        </w:rPr>
      </w:pPr>
      <w:r w:rsidRPr="00420111">
        <w:rPr>
          <w:rFonts w:cs="Arial"/>
          <w:szCs w:val="24"/>
          <w:lang w:eastAsia="en-GB"/>
        </w:rPr>
        <w:lastRenderedPageBreak/>
        <w:t>GLA UKSPF Grant Funding Agreement</w:t>
      </w:r>
    </w:p>
    <w:p w14:paraId="7C8FEB52" w14:textId="075F595E"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420111">
        <w:rPr>
          <w:rFonts w:ascii="Arial Black" w:hAnsi="Arial Black"/>
        </w:rPr>
        <w:t xml:space="preserve"> - NO</w:t>
      </w:r>
    </w:p>
    <w:p w14:paraId="2D3FD3C9" w14:textId="79D12E89" w:rsidR="00B85AF5" w:rsidRDefault="00B85AF5">
      <w:pPr>
        <w:rPr>
          <w:rFonts w:cs="Arial"/>
          <w:i/>
          <w:color w:val="FF0000"/>
          <w:szCs w:val="24"/>
          <w:lang w:eastAsia="en-GB"/>
        </w:rPr>
      </w:pPr>
    </w:p>
    <w:sectPr w:rsidR="00B85AF5"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07FE" w14:textId="77777777" w:rsidR="00EC539F" w:rsidRDefault="00EC539F">
      <w:r>
        <w:separator/>
      </w:r>
    </w:p>
  </w:endnote>
  <w:endnote w:type="continuationSeparator" w:id="0">
    <w:p w14:paraId="54E3F5B3" w14:textId="77777777" w:rsidR="00EC539F" w:rsidRDefault="00EC539F">
      <w:r>
        <w:continuationSeparator/>
      </w:r>
    </w:p>
  </w:endnote>
  <w:endnote w:type="continuationNotice" w:id="1">
    <w:p w14:paraId="1932B860" w14:textId="77777777" w:rsidR="00EC539F" w:rsidRDefault="00EC5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2FE2" w14:textId="77777777" w:rsidR="00EC539F" w:rsidRDefault="00EC539F">
      <w:r>
        <w:separator/>
      </w:r>
    </w:p>
  </w:footnote>
  <w:footnote w:type="continuationSeparator" w:id="0">
    <w:p w14:paraId="34D129DA" w14:textId="77777777" w:rsidR="00EC539F" w:rsidRDefault="00EC539F">
      <w:r>
        <w:continuationSeparator/>
      </w:r>
    </w:p>
  </w:footnote>
  <w:footnote w:type="continuationNotice" w:id="1">
    <w:p w14:paraId="361035BD" w14:textId="77777777" w:rsidR="00EC539F" w:rsidRDefault="00EC5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A500A6"/>
    <w:multiLevelType w:val="hybridMultilevel"/>
    <w:tmpl w:val="5310209C"/>
    <w:lvl w:ilvl="0" w:tplc="4AA88C6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42036"/>
    <w:multiLevelType w:val="hybridMultilevel"/>
    <w:tmpl w:val="D95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1524D7"/>
    <w:multiLevelType w:val="hybridMultilevel"/>
    <w:tmpl w:val="E63AF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AF3642C"/>
    <w:multiLevelType w:val="hybridMultilevel"/>
    <w:tmpl w:val="65C6D35E"/>
    <w:lvl w:ilvl="0" w:tplc="FE8CEF4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72940"/>
    <w:multiLevelType w:val="hybridMultilevel"/>
    <w:tmpl w:val="5DC0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76ED5"/>
    <w:multiLevelType w:val="hybridMultilevel"/>
    <w:tmpl w:val="B404A552"/>
    <w:lvl w:ilvl="0" w:tplc="BB0897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9E51F3"/>
    <w:multiLevelType w:val="hybridMultilevel"/>
    <w:tmpl w:val="57EA055E"/>
    <w:lvl w:ilvl="0" w:tplc="1EE4797C">
      <w:start w:val="1"/>
      <w:numFmt w:val="decimal"/>
      <w:lvlText w:val="%1)"/>
      <w:lvlJc w:val="left"/>
      <w:pPr>
        <w:ind w:left="360" w:hanging="360"/>
      </w:pPr>
      <w:rPr>
        <w:rFonts w:ascii="Arial" w:eastAsia="Times New Roman" w:hAnsi="Arial"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CF1730"/>
    <w:multiLevelType w:val="hybridMultilevel"/>
    <w:tmpl w:val="7932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7A2A4B"/>
    <w:multiLevelType w:val="hybridMultilevel"/>
    <w:tmpl w:val="525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033BF"/>
    <w:multiLevelType w:val="hybridMultilevel"/>
    <w:tmpl w:val="A978E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63537E"/>
    <w:multiLevelType w:val="hybridMultilevel"/>
    <w:tmpl w:val="40A8DAA2"/>
    <w:lvl w:ilvl="0" w:tplc="FE8CEF4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0842242">
    <w:abstractNumId w:val="4"/>
  </w:num>
  <w:num w:numId="2" w16cid:durableId="790318601">
    <w:abstractNumId w:val="2"/>
  </w:num>
  <w:num w:numId="3" w16cid:durableId="1139296955">
    <w:abstractNumId w:val="6"/>
  </w:num>
  <w:num w:numId="4" w16cid:durableId="719017561">
    <w:abstractNumId w:val="0"/>
  </w:num>
  <w:num w:numId="5" w16cid:durableId="946546782">
    <w:abstractNumId w:val="10"/>
  </w:num>
  <w:num w:numId="6" w16cid:durableId="2039427775">
    <w:abstractNumId w:val="8"/>
  </w:num>
  <w:num w:numId="7" w16cid:durableId="1137647681">
    <w:abstractNumId w:val="7"/>
  </w:num>
  <w:num w:numId="8" w16cid:durableId="446699851">
    <w:abstractNumId w:val="12"/>
  </w:num>
  <w:num w:numId="9" w16cid:durableId="1092436262">
    <w:abstractNumId w:val="16"/>
  </w:num>
  <w:num w:numId="10" w16cid:durableId="1570650876">
    <w:abstractNumId w:val="11"/>
  </w:num>
  <w:num w:numId="11" w16cid:durableId="335693640">
    <w:abstractNumId w:val="15"/>
  </w:num>
  <w:num w:numId="12" w16cid:durableId="1640304359">
    <w:abstractNumId w:val="9"/>
  </w:num>
  <w:num w:numId="13" w16cid:durableId="863254763">
    <w:abstractNumId w:val="5"/>
  </w:num>
  <w:num w:numId="14" w16cid:durableId="1793283775">
    <w:abstractNumId w:val="13"/>
  </w:num>
  <w:num w:numId="15" w16cid:durableId="1721901929">
    <w:abstractNumId w:val="3"/>
  </w:num>
  <w:num w:numId="16" w16cid:durableId="892236717">
    <w:abstractNumId w:val="1"/>
  </w:num>
  <w:num w:numId="17" w16cid:durableId="11628898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BFB"/>
    <w:rsid w:val="00005C3C"/>
    <w:rsid w:val="0000781C"/>
    <w:rsid w:val="0001544B"/>
    <w:rsid w:val="00020A02"/>
    <w:rsid w:val="000307B0"/>
    <w:rsid w:val="00030D47"/>
    <w:rsid w:val="0003314E"/>
    <w:rsid w:val="0004029A"/>
    <w:rsid w:val="000433E1"/>
    <w:rsid w:val="000438A9"/>
    <w:rsid w:val="00043C5B"/>
    <w:rsid w:val="00044C56"/>
    <w:rsid w:val="000474E3"/>
    <w:rsid w:val="00054146"/>
    <w:rsid w:val="00055157"/>
    <w:rsid w:val="000559D8"/>
    <w:rsid w:val="0006034E"/>
    <w:rsid w:val="00061C71"/>
    <w:rsid w:val="00063783"/>
    <w:rsid w:val="00064B73"/>
    <w:rsid w:val="000654E1"/>
    <w:rsid w:val="00067BF6"/>
    <w:rsid w:val="0006CBF4"/>
    <w:rsid w:val="00073765"/>
    <w:rsid w:val="00075628"/>
    <w:rsid w:val="000800FB"/>
    <w:rsid w:val="000842E4"/>
    <w:rsid w:val="00090A07"/>
    <w:rsid w:val="000929A6"/>
    <w:rsid w:val="00093196"/>
    <w:rsid w:val="00094912"/>
    <w:rsid w:val="00094DE6"/>
    <w:rsid w:val="00095FA1"/>
    <w:rsid w:val="00097641"/>
    <w:rsid w:val="00097A82"/>
    <w:rsid w:val="000A2CB4"/>
    <w:rsid w:val="000A68B1"/>
    <w:rsid w:val="000B22B5"/>
    <w:rsid w:val="000B5015"/>
    <w:rsid w:val="000B788F"/>
    <w:rsid w:val="000B7C66"/>
    <w:rsid w:val="000C2C27"/>
    <w:rsid w:val="000C3F39"/>
    <w:rsid w:val="000C432E"/>
    <w:rsid w:val="000C4418"/>
    <w:rsid w:val="000C5AE5"/>
    <w:rsid w:val="000C6979"/>
    <w:rsid w:val="000D151E"/>
    <w:rsid w:val="000D4E36"/>
    <w:rsid w:val="000D5CA5"/>
    <w:rsid w:val="000D64F8"/>
    <w:rsid w:val="000D68E6"/>
    <w:rsid w:val="000E4BBC"/>
    <w:rsid w:val="000E62FE"/>
    <w:rsid w:val="000F02F0"/>
    <w:rsid w:val="000F1FFF"/>
    <w:rsid w:val="000F2DEC"/>
    <w:rsid w:val="000F755A"/>
    <w:rsid w:val="0010105C"/>
    <w:rsid w:val="00102450"/>
    <w:rsid w:val="0010354B"/>
    <w:rsid w:val="00105B8A"/>
    <w:rsid w:val="0011377E"/>
    <w:rsid w:val="001161E4"/>
    <w:rsid w:val="00125A26"/>
    <w:rsid w:val="00125B3D"/>
    <w:rsid w:val="00127043"/>
    <w:rsid w:val="00131752"/>
    <w:rsid w:val="00145A7A"/>
    <w:rsid w:val="00146EF7"/>
    <w:rsid w:val="001472A8"/>
    <w:rsid w:val="00151BFC"/>
    <w:rsid w:val="0015283C"/>
    <w:rsid w:val="0015376F"/>
    <w:rsid w:val="0015543E"/>
    <w:rsid w:val="00160B54"/>
    <w:rsid w:val="001614E0"/>
    <w:rsid w:val="00165DDA"/>
    <w:rsid w:val="00171BD8"/>
    <w:rsid w:val="0017653E"/>
    <w:rsid w:val="00176B96"/>
    <w:rsid w:val="00177EFC"/>
    <w:rsid w:val="001809E4"/>
    <w:rsid w:val="00182B01"/>
    <w:rsid w:val="001840D2"/>
    <w:rsid w:val="0018559C"/>
    <w:rsid w:val="00185663"/>
    <w:rsid w:val="00186D41"/>
    <w:rsid w:val="00187FCC"/>
    <w:rsid w:val="00193ED7"/>
    <w:rsid w:val="001966D7"/>
    <w:rsid w:val="00196C2E"/>
    <w:rsid w:val="001A0C39"/>
    <w:rsid w:val="001A37AC"/>
    <w:rsid w:val="001B3D2B"/>
    <w:rsid w:val="001C1B4C"/>
    <w:rsid w:val="001C4261"/>
    <w:rsid w:val="001C4D2E"/>
    <w:rsid w:val="001C7E35"/>
    <w:rsid w:val="001D106E"/>
    <w:rsid w:val="001D3ADD"/>
    <w:rsid w:val="001E0D77"/>
    <w:rsid w:val="001E3C06"/>
    <w:rsid w:val="001E4063"/>
    <w:rsid w:val="001E43D1"/>
    <w:rsid w:val="001E7B04"/>
    <w:rsid w:val="001E7E7F"/>
    <w:rsid w:val="001F0037"/>
    <w:rsid w:val="001F0BE9"/>
    <w:rsid w:val="001F3268"/>
    <w:rsid w:val="001F4D0D"/>
    <w:rsid w:val="001F7F19"/>
    <w:rsid w:val="00200367"/>
    <w:rsid w:val="00200962"/>
    <w:rsid w:val="00202D79"/>
    <w:rsid w:val="00205D2F"/>
    <w:rsid w:val="00206F68"/>
    <w:rsid w:val="00215E8F"/>
    <w:rsid w:val="00220500"/>
    <w:rsid w:val="00221A93"/>
    <w:rsid w:val="002233F6"/>
    <w:rsid w:val="002322BB"/>
    <w:rsid w:val="00240068"/>
    <w:rsid w:val="00240F4F"/>
    <w:rsid w:val="00245FBF"/>
    <w:rsid w:val="00250AC8"/>
    <w:rsid w:val="00251254"/>
    <w:rsid w:val="002514E3"/>
    <w:rsid w:val="002548D1"/>
    <w:rsid w:val="0026337B"/>
    <w:rsid w:val="00266CEC"/>
    <w:rsid w:val="00270949"/>
    <w:rsid w:val="0027283B"/>
    <w:rsid w:val="00280109"/>
    <w:rsid w:val="0028019B"/>
    <w:rsid w:val="00281435"/>
    <w:rsid w:val="0028286D"/>
    <w:rsid w:val="00282E73"/>
    <w:rsid w:val="00283CAB"/>
    <w:rsid w:val="0028525A"/>
    <w:rsid w:val="00286292"/>
    <w:rsid w:val="002879BC"/>
    <w:rsid w:val="00297A5B"/>
    <w:rsid w:val="002A2D89"/>
    <w:rsid w:val="002A3FEF"/>
    <w:rsid w:val="002A437B"/>
    <w:rsid w:val="002B5204"/>
    <w:rsid w:val="002B54A6"/>
    <w:rsid w:val="002C08D1"/>
    <w:rsid w:val="002C0E30"/>
    <w:rsid w:val="002D72F7"/>
    <w:rsid w:val="002E0D93"/>
    <w:rsid w:val="002E4C78"/>
    <w:rsid w:val="002E70BC"/>
    <w:rsid w:val="002E7EAA"/>
    <w:rsid w:val="002F066B"/>
    <w:rsid w:val="002F0750"/>
    <w:rsid w:val="002F1700"/>
    <w:rsid w:val="002F1ABD"/>
    <w:rsid w:val="002F2B3D"/>
    <w:rsid w:val="002F3EE9"/>
    <w:rsid w:val="002F73C1"/>
    <w:rsid w:val="003009F4"/>
    <w:rsid w:val="003019C0"/>
    <w:rsid w:val="00301F28"/>
    <w:rsid w:val="00307855"/>
    <w:rsid w:val="00307F76"/>
    <w:rsid w:val="00311543"/>
    <w:rsid w:val="003159F9"/>
    <w:rsid w:val="00316EC7"/>
    <w:rsid w:val="00317639"/>
    <w:rsid w:val="00321FBB"/>
    <w:rsid w:val="00325F1C"/>
    <w:rsid w:val="00330832"/>
    <w:rsid w:val="003309F1"/>
    <w:rsid w:val="003313EA"/>
    <w:rsid w:val="00332AFD"/>
    <w:rsid w:val="00333FAA"/>
    <w:rsid w:val="003355D7"/>
    <w:rsid w:val="003356F9"/>
    <w:rsid w:val="00338FA4"/>
    <w:rsid w:val="003431FA"/>
    <w:rsid w:val="003548BC"/>
    <w:rsid w:val="003561B9"/>
    <w:rsid w:val="00357B48"/>
    <w:rsid w:val="0036201C"/>
    <w:rsid w:val="00376768"/>
    <w:rsid w:val="00377569"/>
    <w:rsid w:val="003775F8"/>
    <w:rsid w:val="00380F87"/>
    <w:rsid w:val="00384496"/>
    <w:rsid w:val="0039149B"/>
    <w:rsid w:val="00391A32"/>
    <w:rsid w:val="003928BA"/>
    <w:rsid w:val="003A1E9A"/>
    <w:rsid w:val="003C270D"/>
    <w:rsid w:val="003C27A6"/>
    <w:rsid w:val="003C4575"/>
    <w:rsid w:val="003C4883"/>
    <w:rsid w:val="003D1352"/>
    <w:rsid w:val="003E054A"/>
    <w:rsid w:val="003E06AE"/>
    <w:rsid w:val="003E2551"/>
    <w:rsid w:val="003E29FD"/>
    <w:rsid w:val="003E2D47"/>
    <w:rsid w:val="003F200F"/>
    <w:rsid w:val="003F3AFD"/>
    <w:rsid w:val="003F3ED4"/>
    <w:rsid w:val="003F46B7"/>
    <w:rsid w:val="003F7324"/>
    <w:rsid w:val="00401737"/>
    <w:rsid w:val="00405EFE"/>
    <w:rsid w:val="004076C8"/>
    <w:rsid w:val="00417D9D"/>
    <w:rsid w:val="00420111"/>
    <w:rsid w:val="004207E3"/>
    <w:rsid w:val="004211BB"/>
    <w:rsid w:val="00421A4C"/>
    <w:rsid w:val="004238C2"/>
    <w:rsid w:val="00430359"/>
    <w:rsid w:val="00434A53"/>
    <w:rsid w:val="00435B5D"/>
    <w:rsid w:val="004363F7"/>
    <w:rsid w:val="004408E3"/>
    <w:rsid w:val="00443B4D"/>
    <w:rsid w:val="00443EE6"/>
    <w:rsid w:val="0044525C"/>
    <w:rsid w:val="0044556A"/>
    <w:rsid w:val="00452327"/>
    <w:rsid w:val="004553F1"/>
    <w:rsid w:val="004569BA"/>
    <w:rsid w:val="00461471"/>
    <w:rsid w:val="00463505"/>
    <w:rsid w:val="00466403"/>
    <w:rsid w:val="00466CE5"/>
    <w:rsid w:val="00471064"/>
    <w:rsid w:val="00471C1F"/>
    <w:rsid w:val="004743CB"/>
    <w:rsid w:val="0047644D"/>
    <w:rsid w:val="004801A6"/>
    <w:rsid w:val="004809FA"/>
    <w:rsid w:val="00483B76"/>
    <w:rsid w:val="00486419"/>
    <w:rsid w:val="004944F2"/>
    <w:rsid w:val="004978FF"/>
    <w:rsid w:val="004B4F9B"/>
    <w:rsid w:val="004C01BB"/>
    <w:rsid w:val="004C1272"/>
    <w:rsid w:val="004C2D09"/>
    <w:rsid w:val="004C482F"/>
    <w:rsid w:val="004C4A75"/>
    <w:rsid w:val="004C6978"/>
    <w:rsid w:val="004C6D75"/>
    <w:rsid w:val="004D2DA0"/>
    <w:rsid w:val="004D356C"/>
    <w:rsid w:val="004D6A37"/>
    <w:rsid w:val="004E0257"/>
    <w:rsid w:val="004E09F3"/>
    <w:rsid w:val="004E14A4"/>
    <w:rsid w:val="004E3299"/>
    <w:rsid w:val="004E5B6E"/>
    <w:rsid w:val="004F54BD"/>
    <w:rsid w:val="004F56C5"/>
    <w:rsid w:val="004F6EE1"/>
    <w:rsid w:val="004F7EFB"/>
    <w:rsid w:val="0050054D"/>
    <w:rsid w:val="00502DD4"/>
    <w:rsid w:val="0050417D"/>
    <w:rsid w:val="00506185"/>
    <w:rsid w:val="00512BB7"/>
    <w:rsid w:val="00521A51"/>
    <w:rsid w:val="00524386"/>
    <w:rsid w:val="005269B1"/>
    <w:rsid w:val="00526E07"/>
    <w:rsid w:val="00532C6D"/>
    <w:rsid w:val="00534E74"/>
    <w:rsid w:val="005354D0"/>
    <w:rsid w:val="0053759D"/>
    <w:rsid w:val="0054172C"/>
    <w:rsid w:val="0054590F"/>
    <w:rsid w:val="005459EC"/>
    <w:rsid w:val="005557A4"/>
    <w:rsid w:val="005560BD"/>
    <w:rsid w:val="005623CC"/>
    <w:rsid w:val="00562B98"/>
    <w:rsid w:val="00563EA4"/>
    <w:rsid w:val="0056746A"/>
    <w:rsid w:val="005718B5"/>
    <w:rsid w:val="00572CAB"/>
    <w:rsid w:val="005808FB"/>
    <w:rsid w:val="005811F8"/>
    <w:rsid w:val="00582605"/>
    <w:rsid w:val="00584482"/>
    <w:rsid w:val="00591016"/>
    <w:rsid w:val="005943F0"/>
    <w:rsid w:val="00597538"/>
    <w:rsid w:val="00597853"/>
    <w:rsid w:val="005A41DB"/>
    <w:rsid w:val="005B1056"/>
    <w:rsid w:val="005B3F67"/>
    <w:rsid w:val="005B779E"/>
    <w:rsid w:val="005C1997"/>
    <w:rsid w:val="005C21F2"/>
    <w:rsid w:val="005D00B2"/>
    <w:rsid w:val="005D548F"/>
    <w:rsid w:val="005D635A"/>
    <w:rsid w:val="005D6EF5"/>
    <w:rsid w:val="005E18DF"/>
    <w:rsid w:val="005E223C"/>
    <w:rsid w:val="005E3A10"/>
    <w:rsid w:val="005E7509"/>
    <w:rsid w:val="005F08E2"/>
    <w:rsid w:val="005F2F06"/>
    <w:rsid w:val="005F6069"/>
    <w:rsid w:val="00601D7F"/>
    <w:rsid w:val="00605A4C"/>
    <w:rsid w:val="006111B7"/>
    <w:rsid w:val="00614DCA"/>
    <w:rsid w:val="00617636"/>
    <w:rsid w:val="00621794"/>
    <w:rsid w:val="0062212B"/>
    <w:rsid w:val="00622496"/>
    <w:rsid w:val="00626A4C"/>
    <w:rsid w:val="006307B6"/>
    <w:rsid w:val="006318D3"/>
    <w:rsid w:val="00637A2B"/>
    <w:rsid w:val="00637B19"/>
    <w:rsid w:val="00640C12"/>
    <w:rsid w:val="00643065"/>
    <w:rsid w:val="006445F2"/>
    <w:rsid w:val="00645B8B"/>
    <w:rsid w:val="00652F96"/>
    <w:rsid w:val="006542A1"/>
    <w:rsid w:val="00655044"/>
    <w:rsid w:val="00662434"/>
    <w:rsid w:val="00666922"/>
    <w:rsid w:val="006669C3"/>
    <w:rsid w:val="00670172"/>
    <w:rsid w:val="00670565"/>
    <w:rsid w:val="00670F17"/>
    <w:rsid w:val="006710C7"/>
    <w:rsid w:val="006714F1"/>
    <w:rsid w:val="00672436"/>
    <w:rsid w:val="00674A31"/>
    <w:rsid w:val="00675520"/>
    <w:rsid w:val="006764D7"/>
    <w:rsid w:val="00681651"/>
    <w:rsid w:val="00691CB8"/>
    <w:rsid w:val="0069484E"/>
    <w:rsid w:val="00696A83"/>
    <w:rsid w:val="006A3998"/>
    <w:rsid w:val="006A3E03"/>
    <w:rsid w:val="006A42F2"/>
    <w:rsid w:val="006C1EE3"/>
    <w:rsid w:val="006C3038"/>
    <w:rsid w:val="006C3F18"/>
    <w:rsid w:val="006C56EF"/>
    <w:rsid w:val="006C580A"/>
    <w:rsid w:val="006D1E69"/>
    <w:rsid w:val="006D7BCD"/>
    <w:rsid w:val="006F057C"/>
    <w:rsid w:val="006F10EB"/>
    <w:rsid w:val="006F1457"/>
    <w:rsid w:val="006F22DA"/>
    <w:rsid w:val="006F2EB3"/>
    <w:rsid w:val="006F2FE5"/>
    <w:rsid w:val="006F5062"/>
    <w:rsid w:val="006F613C"/>
    <w:rsid w:val="006F6B28"/>
    <w:rsid w:val="0070164B"/>
    <w:rsid w:val="007039B4"/>
    <w:rsid w:val="00705810"/>
    <w:rsid w:val="007112D1"/>
    <w:rsid w:val="007116B1"/>
    <w:rsid w:val="00712B09"/>
    <w:rsid w:val="00712BEA"/>
    <w:rsid w:val="00714BEE"/>
    <w:rsid w:val="00715BAF"/>
    <w:rsid w:val="00717A5C"/>
    <w:rsid w:val="00721215"/>
    <w:rsid w:val="007400CF"/>
    <w:rsid w:val="007417BD"/>
    <w:rsid w:val="00746019"/>
    <w:rsid w:val="00746AE2"/>
    <w:rsid w:val="007547FB"/>
    <w:rsid w:val="007578A0"/>
    <w:rsid w:val="0077485E"/>
    <w:rsid w:val="00776874"/>
    <w:rsid w:val="00785CAD"/>
    <w:rsid w:val="00796DA9"/>
    <w:rsid w:val="007B1E29"/>
    <w:rsid w:val="007B23FC"/>
    <w:rsid w:val="007B69DF"/>
    <w:rsid w:val="007B77AF"/>
    <w:rsid w:val="007C1023"/>
    <w:rsid w:val="007C1E2F"/>
    <w:rsid w:val="007C2846"/>
    <w:rsid w:val="007D0C1D"/>
    <w:rsid w:val="007D113E"/>
    <w:rsid w:val="007D2000"/>
    <w:rsid w:val="007D4DBF"/>
    <w:rsid w:val="007D59B7"/>
    <w:rsid w:val="007D6651"/>
    <w:rsid w:val="007E389B"/>
    <w:rsid w:val="007E449A"/>
    <w:rsid w:val="007E4732"/>
    <w:rsid w:val="007E4BA4"/>
    <w:rsid w:val="007E76E3"/>
    <w:rsid w:val="007F004E"/>
    <w:rsid w:val="007F01A0"/>
    <w:rsid w:val="007F2536"/>
    <w:rsid w:val="007F335A"/>
    <w:rsid w:val="007F6AD0"/>
    <w:rsid w:val="007F6D25"/>
    <w:rsid w:val="007F72B0"/>
    <w:rsid w:val="008016E6"/>
    <w:rsid w:val="00802442"/>
    <w:rsid w:val="00803104"/>
    <w:rsid w:val="0080394B"/>
    <w:rsid w:val="00806061"/>
    <w:rsid w:val="00812901"/>
    <w:rsid w:val="0081583E"/>
    <w:rsid w:val="00826B9A"/>
    <w:rsid w:val="008303BC"/>
    <w:rsid w:val="008310D1"/>
    <w:rsid w:val="0083219C"/>
    <w:rsid w:val="00837E4B"/>
    <w:rsid w:val="00842757"/>
    <w:rsid w:val="00843CC2"/>
    <w:rsid w:val="008466D5"/>
    <w:rsid w:val="00846B2F"/>
    <w:rsid w:val="0085266D"/>
    <w:rsid w:val="00852A54"/>
    <w:rsid w:val="008570D6"/>
    <w:rsid w:val="008736D0"/>
    <w:rsid w:val="00880213"/>
    <w:rsid w:val="00883A9C"/>
    <w:rsid w:val="00886BBD"/>
    <w:rsid w:val="008904E7"/>
    <w:rsid w:val="00894E13"/>
    <w:rsid w:val="00896EBF"/>
    <w:rsid w:val="008971B6"/>
    <w:rsid w:val="008A1CFF"/>
    <w:rsid w:val="008A5AA0"/>
    <w:rsid w:val="008A5F90"/>
    <w:rsid w:val="008B1673"/>
    <w:rsid w:val="008B670D"/>
    <w:rsid w:val="008B71E0"/>
    <w:rsid w:val="008C3925"/>
    <w:rsid w:val="008C3E9A"/>
    <w:rsid w:val="008D0335"/>
    <w:rsid w:val="008D2CC1"/>
    <w:rsid w:val="008D4924"/>
    <w:rsid w:val="008D505D"/>
    <w:rsid w:val="008D5FB3"/>
    <w:rsid w:val="008D6CD7"/>
    <w:rsid w:val="008E224D"/>
    <w:rsid w:val="008E4990"/>
    <w:rsid w:val="008E49F7"/>
    <w:rsid w:val="008F467C"/>
    <w:rsid w:val="008F48D8"/>
    <w:rsid w:val="008F5035"/>
    <w:rsid w:val="008F5477"/>
    <w:rsid w:val="009074A3"/>
    <w:rsid w:val="0091091E"/>
    <w:rsid w:val="00913AFB"/>
    <w:rsid w:val="0091737C"/>
    <w:rsid w:val="0092530B"/>
    <w:rsid w:val="0092793B"/>
    <w:rsid w:val="009306E4"/>
    <w:rsid w:val="0093255E"/>
    <w:rsid w:val="00932593"/>
    <w:rsid w:val="00932DE3"/>
    <w:rsid w:val="009341A6"/>
    <w:rsid w:val="0093433D"/>
    <w:rsid w:val="00936FBF"/>
    <w:rsid w:val="00937511"/>
    <w:rsid w:val="0094208C"/>
    <w:rsid w:val="00942F17"/>
    <w:rsid w:val="00943236"/>
    <w:rsid w:val="0094520B"/>
    <w:rsid w:val="00952CEF"/>
    <w:rsid w:val="00953ECB"/>
    <w:rsid w:val="00955199"/>
    <w:rsid w:val="00955421"/>
    <w:rsid w:val="00960CD2"/>
    <w:rsid w:val="0097256C"/>
    <w:rsid w:val="00975702"/>
    <w:rsid w:val="00990E9C"/>
    <w:rsid w:val="0099245D"/>
    <w:rsid w:val="00994542"/>
    <w:rsid w:val="00994908"/>
    <w:rsid w:val="00995AD0"/>
    <w:rsid w:val="009B160B"/>
    <w:rsid w:val="009C10FC"/>
    <w:rsid w:val="009C1487"/>
    <w:rsid w:val="009C237B"/>
    <w:rsid w:val="009C4DD1"/>
    <w:rsid w:val="009C6040"/>
    <w:rsid w:val="009C63F5"/>
    <w:rsid w:val="009D245B"/>
    <w:rsid w:val="009D3F94"/>
    <w:rsid w:val="009E03AB"/>
    <w:rsid w:val="009E5A93"/>
    <w:rsid w:val="009F18C7"/>
    <w:rsid w:val="009F3154"/>
    <w:rsid w:val="009F744A"/>
    <w:rsid w:val="009F7F91"/>
    <w:rsid w:val="00A047B3"/>
    <w:rsid w:val="00A05431"/>
    <w:rsid w:val="00A1211C"/>
    <w:rsid w:val="00A1476F"/>
    <w:rsid w:val="00A14960"/>
    <w:rsid w:val="00A15DB5"/>
    <w:rsid w:val="00A20113"/>
    <w:rsid w:val="00A20D78"/>
    <w:rsid w:val="00A2181D"/>
    <w:rsid w:val="00A2215F"/>
    <w:rsid w:val="00A22839"/>
    <w:rsid w:val="00A23E19"/>
    <w:rsid w:val="00A317D3"/>
    <w:rsid w:val="00A33185"/>
    <w:rsid w:val="00A44D53"/>
    <w:rsid w:val="00A4606E"/>
    <w:rsid w:val="00A53B04"/>
    <w:rsid w:val="00A579C7"/>
    <w:rsid w:val="00A608EE"/>
    <w:rsid w:val="00A62C56"/>
    <w:rsid w:val="00A661F4"/>
    <w:rsid w:val="00A66326"/>
    <w:rsid w:val="00A702B6"/>
    <w:rsid w:val="00A7271A"/>
    <w:rsid w:val="00A73A27"/>
    <w:rsid w:val="00A74D79"/>
    <w:rsid w:val="00A81E19"/>
    <w:rsid w:val="00A83D67"/>
    <w:rsid w:val="00A844A0"/>
    <w:rsid w:val="00A86985"/>
    <w:rsid w:val="00A87312"/>
    <w:rsid w:val="00A906E7"/>
    <w:rsid w:val="00A90B98"/>
    <w:rsid w:val="00A942AF"/>
    <w:rsid w:val="00A97168"/>
    <w:rsid w:val="00A9723B"/>
    <w:rsid w:val="00AA41CD"/>
    <w:rsid w:val="00AB150B"/>
    <w:rsid w:val="00AB67C1"/>
    <w:rsid w:val="00AB795F"/>
    <w:rsid w:val="00AC18AE"/>
    <w:rsid w:val="00AC6312"/>
    <w:rsid w:val="00AC6591"/>
    <w:rsid w:val="00AD1E77"/>
    <w:rsid w:val="00AD2EF2"/>
    <w:rsid w:val="00AD6D80"/>
    <w:rsid w:val="00AD7711"/>
    <w:rsid w:val="00AE35A2"/>
    <w:rsid w:val="00AE7F0B"/>
    <w:rsid w:val="00AF1ECD"/>
    <w:rsid w:val="00AF2ED8"/>
    <w:rsid w:val="00AF31F7"/>
    <w:rsid w:val="00AF5618"/>
    <w:rsid w:val="00AF66DA"/>
    <w:rsid w:val="00B008A4"/>
    <w:rsid w:val="00B014A2"/>
    <w:rsid w:val="00B1160D"/>
    <w:rsid w:val="00B139FB"/>
    <w:rsid w:val="00B177C0"/>
    <w:rsid w:val="00B21846"/>
    <w:rsid w:val="00B22191"/>
    <w:rsid w:val="00B23286"/>
    <w:rsid w:val="00B27073"/>
    <w:rsid w:val="00B273E7"/>
    <w:rsid w:val="00B35693"/>
    <w:rsid w:val="00B444E6"/>
    <w:rsid w:val="00B44858"/>
    <w:rsid w:val="00B50F21"/>
    <w:rsid w:val="00B52011"/>
    <w:rsid w:val="00B53EFF"/>
    <w:rsid w:val="00B54AFA"/>
    <w:rsid w:val="00B56EE0"/>
    <w:rsid w:val="00B61AD4"/>
    <w:rsid w:val="00B64F4B"/>
    <w:rsid w:val="00B65B60"/>
    <w:rsid w:val="00B65BE5"/>
    <w:rsid w:val="00B671A4"/>
    <w:rsid w:val="00B67E42"/>
    <w:rsid w:val="00B739AD"/>
    <w:rsid w:val="00B74ADF"/>
    <w:rsid w:val="00B804E8"/>
    <w:rsid w:val="00B8344C"/>
    <w:rsid w:val="00B85AF5"/>
    <w:rsid w:val="00B85CB9"/>
    <w:rsid w:val="00B862DF"/>
    <w:rsid w:val="00B8637E"/>
    <w:rsid w:val="00B928E1"/>
    <w:rsid w:val="00B9376D"/>
    <w:rsid w:val="00BA05BE"/>
    <w:rsid w:val="00BA21B7"/>
    <w:rsid w:val="00BA2F91"/>
    <w:rsid w:val="00BA42AB"/>
    <w:rsid w:val="00BB2CC9"/>
    <w:rsid w:val="00BC074D"/>
    <w:rsid w:val="00BC206C"/>
    <w:rsid w:val="00BC431A"/>
    <w:rsid w:val="00BC44CD"/>
    <w:rsid w:val="00BC6B96"/>
    <w:rsid w:val="00BD1396"/>
    <w:rsid w:val="00BE218B"/>
    <w:rsid w:val="00BE7A34"/>
    <w:rsid w:val="00BF1084"/>
    <w:rsid w:val="00BF322B"/>
    <w:rsid w:val="00BF39FC"/>
    <w:rsid w:val="00BF5AFA"/>
    <w:rsid w:val="00C006B2"/>
    <w:rsid w:val="00C01A35"/>
    <w:rsid w:val="00C02B58"/>
    <w:rsid w:val="00C03772"/>
    <w:rsid w:val="00C04EDA"/>
    <w:rsid w:val="00C07574"/>
    <w:rsid w:val="00C119A2"/>
    <w:rsid w:val="00C1433B"/>
    <w:rsid w:val="00C20711"/>
    <w:rsid w:val="00C21ADF"/>
    <w:rsid w:val="00C32B4E"/>
    <w:rsid w:val="00C3430C"/>
    <w:rsid w:val="00C35518"/>
    <w:rsid w:val="00C374D1"/>
    <w:rsid w:val="00C40249"/>
    <w:rsid w:val="00C42B24"/>
    <w:rsid w:val="00C43F06"/>
    <w:rsid w:val="00C46E26"/>
    <w:rsid w:val="00C52397"/>
    <w:rsid w:val="00C53F1A"/>
    <w:rsid w:val="00C54741"/>
    <w:rsid w:val="00C560F7"/>
    <w:rsid w:val="00C57267"/>
    <w:rsid w:val="00C57984"/>
    <w:rsid w:val="00C616FF"/>
    <w:rsid w:val="00C6280E"/>
    <w:rsid w:val="00C62B63"/>
    <w:rsid w:val="00C652FB"/>
    <w:rsid w:val="00C702BC"/>
    <w:rsid w:val="00C72B5B"/>
    <w:rsid w:val="00C75629"/>
    <w:rsid w:val="00C80200"/>
    <w:rsid w:val="00C86668"/>
    <w:rsid w:val="00C869F3"/>
    <w:rsid w:val="00C908E7"/>
    <w:rsid w:val="00CA0567"/>
    <w:rsid w:val="00CA5115"/>
    <w:rsid w:val="00CB380A"/>
    <w:rsid w:val="00CB6A3C"/>
    <w:rsid w:val="00CB6FFB"/>
    <w:rsid w:val="00CC18AC"/>
    <w:rsid w:val="00CC4746"/>
    <w:rsid w:val="00CC68E8"/>
    <w:rsid w:val="00CD7D5D"/>
    <w:rsid w:val="00CE4668"/>
    <w:rsid w:val="00CE52F3"/>
    <w:rsid w:val="00CF0621"/>
    <w:rsid w:val="00CF0FC4"/>
    <w:rsid w:val="00CF4AFF"/>
    <w:rsid w:val="00CF6932"/>
    <w:rsid w:val="00D0016A"/>
    <w:rsid w:val="00D01BE7"/>
    <w:rsid w:val="00D01FE3"/>
    <w:rsid w:val="00D02C77"/>
    <w:rsid w:val="00D0381E"/>
    <w:rsid w:val="00D06CA3"/>
    <w:rsid w:val="00D07F46"/>
    <w:rsid w:val="00D11315"/>
    <w:rsid w:val="00D170E5"/>
    <w:rsid w:val="00D208AD"/>
    <w:rsid w:val="00D22ECA"/>
    <w:rsid w:val="00D2450D"/>
    <w:rsid w:val="00D3099C"/>
    <w:rsid w:val="00D32A2B"/>
    <w:rsid w:val="00D37F2F"/>
    <w:rsid w:val="00D415B9"/>
    <w:rsid w:val="00D446A9"/>
    <w:rsid w:val="00D462F9"/>
    <w:rsid w:val="00D528E8"/>
    <w:rsid w:val="00D52A88"/>
    <w:rsid w:val="00D52C2E"/>
    <w:rsid w:val="00D5542C"/>
    <w:rsid w:val="00D57481"/>
    <w:rsid w:val="00D63BEF"/>
    <w:rsid w:val="00D64A52"/>
    <w:rsid w:val="00D75020"/>
    <w:rsid w:val="00D771D0"/>
    <w:rsid w:val="00D8140C"/>
    <w:rsid w:val="00D831DF"/>
    <w:rsid w:val="00D835CF"/>
    <w:rsid w:val="00D83CCB"/>
    <w:rsid w:val="00D8739A"/>
    <w:rsid w:val="00D92223"/>
    <w:rsid w:val="00D94A4F"/>
    <w:rsid w:val="00DA15B8"/>
    <w:rsid w:val="00DA176F"/>
    <w:rsid w:val="00DA26FB"/>
    <w:rsid w:val="00DA2F9B"/>
    <w:rsid w:val="00DA33FF"/>
    <w:rsid w:val="00DA36BE"/>
    <w:rsid w:val="00DB0AC7"/>
    <w:rsid w:val="00DB6C3D"/>
    <w:rsid w:val="00DB7D43"/>
    <w:rsid w:val="00DC07AD"/>
    <w:rsid w:val="00DC0821"/>
    <w:rsid w:val="00DC291B"/>
    <w:rsid w:val="00DC5ACF"/>
    <w:rsid w:val="00DC698B"/>
    <w:rsid w:val="00DC7804"/>
    <w:rsid w:val="00DD3573"/>
    <w:rsid w:val="00DD53E0"/>
    <w:rsid w:val="00DD5AE3"/>
    <w:rsid w:val="00DD7468"/>
    <w:rsid w:val="00DE25E9"/>
    <w:rsid w:val="00DE71D3"/>
    <w:rsid w:val="00DE72CF"/>
    <w:rsid w:val="00DE765D"/>
    <w:rsid w:val="00DF08A0"/>
    <w:rsid w:val="00DF0E58"/>
    <w:rsid w:val="00DF14F3"/>
    <w:rsid w:val="00DF170F"/>
    <w:rsid w:val="00DF38CE"/>
    <w:rsid w:val="00DF54E9"/>
    <w:rsid w:val="00DF5F79"/>
    <w:rsid w:val="00E01BFA"/>
    <w:rsid w:val="00E04886"/>
    <w:rsid w:val="00E05173"/>
    <w:rsid w:val="00E0569D"/>
    <w:rsid w:val="00E13BEF"/>
    <w:rsid w:val="00E1525B"/>
    <w:rsid w:val="00E17536"/>
    <w:rsid w:val="00E176B4"/>
    <w:rsid w:val="00E22D6B"/>
    <w:rsid w:val="00E26B97"/>
    <w:rsid w:val="00E32270"/>
    <w:rsid w:val="00E340C1"/>
    <w:rsid w:val="00E41122"/>
    <w:rsid w:val="00E419FD"/>
    <w:rsid w:val="00E4536B"/>
    <w:rsid w:val="00E57C45"/>
    <w:rsid w:val="00E61020"/>
    <w:rsid w:val="00E6135C"/>
    <w:rsid w:val="00E614F6"/>
    <w:rsid w:val="00E63686"/>
    <w:rsid w:val="00E64F7B"/>
    <w:rsid w:val="00E70760"/>
    <w:rsid w:val="00E729A8"/>
    <w:rsid w:val="00E74462"/>
    <w:rsid w:val="00E76681"/>
    <w:rsid w:val="00E7747D"/>
    <w:rsid w:val="00E81D37"/>
    <w:rsid w:val="00E82188"/>
    <w:rsid w:val="00E83996"/>
    <w:rsid w:val="00E9122D"/>
    <w:rsid w:val="00E9253C"/>
    <w:rsid w:val="00E9396E"/>
    <w:rsid w:val="00EA00D9"/>
    <w:rsid w:val="00EA21E7"/>
    <w:rsid w:val="00EB3CF0"/>
    <w:rsid w:val="00EB45B5"/>
    <w:rsid w:val="00EB5E57"/>
    <w:rsid w:val="00EB61DB"/>
    <w:rsid w:val="00EB6690"/>
    <w:rsid w:val="00EC3646"/>
    <w:rsid w:val="00EC539F"/>
    <w:rsid w:val="00ED1AD0"/>
    <w:rsid w:val="00ED4AFD"/>
    <w:rsid w:val="00ED5742"/>
    <w:rsid w:val="00ED6776"/>
    <w:rsid w:val="00EE2AB8"/>
    <w:rsid w:val="00EE4FBE"/>
    <w:rsid w:val="00EE5EF2"/>
    <w:rsid w:val="00EF2BD8"/>
    <w:rsid w:val="00EF48B0"/>
    <w:rsid w:val="00EF77AF"/>
    <w:rsid w:val="00F00A19"/>
    <w:rsid w:val="00F0200F"/>
    <w:rsid w:val="00F038A1"/>
    <w:rsid w:val="00F0444E"/>
    <w:rsid w:val="00F06774"/>
    <w:rsid w:val="00F06E4E"/>
    <w:rsid w:val="00F10ED7"/>
    <w:rsid w:val="00F11602"/>
    <w:rsid w:val="00F11D82"/>
    <w:rsid w:val="00F17597"/>
    <w:rsid w:val="00F23574"/>
    <w:rsid w:val="00F238E0"/>
    <w:rsid w:val="00F25785"/>
    <w:rsid w:val="00F31178"/>
    <w:rsid w:val="00F3335D"/>
    <w:rsid w:val="00F40C36"/>
    <w:rsid w:val="00F51E01"/>
    <w:rsid w:val="00F526E4"/>
    <w:rsid w:val="00F535E3"/>
    <w:rsid w:val="00F55D82"/>
    <w:rsid w:val="00F5649A"/>
    <w:rsid w:val="00F64F5A"/>
    <w:rsid w:val="00F65B6F"/>
    <w:rsid w:val="00F67DC5"/>
    <w:rsid w:val="00F740BB"/>
    <w:rsid w:val="00F75DB5"/>
    <w:rsid w:val="00F767C4"/>
    <w:rsid w:val="00F8047D"/>
    <w:rsid w:val="00F812D8"/>
    <w:rsid w:val="00F82342"/>
    <w:rsid w:val="00F877DB"/>
    <w:rsid w:val="00F90027"/>
    <w:rsid w:val="00F91AE4"/>
    <w:rsid w:val="00F93C8B"/>
    <w:rsid w:val="00F959DD"/>
    <w:rsid w:val="00F960D5"/>
    <w:rsid w:val="00FA21ED"/>
    <w:rsid w:val="00FA7E4A"/>
    <w:rsid w:val="00FB1231"/>
    <w:rsid w:val="00FB3DB5"/>
    <w:rsid w:val="00FB7334"/>
    <w:rsid w:val="00FC03D3"/>
    <w:rsid w:val="00FC1C5C"/>
    <w:rsid w:val="00FC331A"/>
    <w:rsid w:val="00FC4003"/>
    <w:rsid w:val="00FC48B0"/>
    <w:rsid w:val="00FC4F8B"/>
    <w:rsid w:val="00FD2CBD"/>
    <w:rsid w:val="00FD5406"/>
    <w:rsid w:val="00FD5823"/>
    <w:rsid w:val="00FE0CFA"/>
    <w:rsid w:val="00FE17E2"/>
    <w:rsid w:val="00FE1DF2"/>
    <w:rsid w:val="00FE49F2"/>
    <w:rsid w:val="00FF6DD0"/>
    <w:rsid w:val="00FF6E4B"/>
    <w:rsid w:val="0124A657"/>
    <w:rsid w:val="02038A9C"/>
    <w:rsid w:val="05CAFEB5"/>
    <w:rsid w:val="05F9A155"/>
    <w:rsid w:val="09BEAD07"/>
    <w:rsid w:val="09D3D57A"/>
    <w:rsid w:val="09E25F70"/>
    <w:rsid w:val="0B7E2FD1"/>
    <w:rsid w:val="0C21C79A"/>
    <w:rsid w:val="0F0EAFF1"/>
    <w:rsid w:val="100186F9"/>
    <w:rsid w:val="120FEE04"/>
    <w:rsid w:val="132DE210"/>
    <w:rsid w:val="13701959"/>
    <w:rsid w:val="1384CC11"/>
    <w:rsid w:val="1395884D"/>
    <w:rsid w:val="13E22114"/>
    <w:rsid w:val="149B3183"/>
    <w:rsid w:val="14C9B271"/>
    <w:rsid w:val="167CE967"/>
    <w:rsid w:val="17F41994"/>
    <w:rsid w:val="188AF86A"/>
    <w:rsid w:val="19083828"/>
    <w:rsid w:val="1AE0564D"/>
    <w:rsid w:val="1BFF3462"/>
    <w:rsid w:val="1C3FD8EA"/>
    <w:rsid w:val="1C58F6D3"/>
    <w:rsid w:val="1D487B84"/>
    <w:rsid w:val="1DDBA94B"/>
    <w:rsid w:val="1F8543A3"/>
    <w:rsid w:val="224DF7B4"/>
    <w:rsid w:val="23B6646C"/>
    <w:rsid w:val="2565A016"/>
    <w:rsid w:val="2680371B"/>
    <w:rsid w:val="2697ADCA"/>
    <w:rsid w:val="2716B94A"/>
    <w:rsid w:val="2896C77B"/>
    <w:rsid w:val="28F317B3"/>
    <w:rsid w:val="29AC65C0"/>
    <w:rsid w:val="29B89211"/>
    <w:rsid w:val="2A3297DC"/>
    <w:rsid w:val="2C8511FB"/>
    <w:rsid w:val="2CA78EAA"/>
    <w:rsid w:val="2CD97A78"/>
    <w:rsid w:val="2D07BA8A"/>
    <w:rsid w:val="2D363C95"/>
    <w:rsid w:val="2E435F0B"/>
    <w:rsid w:val="2E4697CD"/>
    <w:rsid w:val="2ED788F9"/>
    <w:rsid w:val="321C810C"/>
    <w:rsid w:val="32959AF1"/>
    <w:rsid w:val="331B4AC2"/>
    <w:rsid w:val="338FF5C8"/>
    <w:rsid w:val="34233C4B"/>
    <w:rsid w:val="353475EB"/>
    <w:rsid w:val="355421CE"/>
    <w:rsid w:val="35A1751D"/>
    <w:rsid w:val="35CC37B6"/>
    <w:rsid w:val="398DFF38"/>
    <w:rsid w:val="3AA27BBA"/>
    <w:rsid w:val="3CC59FFA"/>
    <w:rsid w:val="3D06843A"/>
    <w:rsid w:val="3DD01B47"/>
    <w:rsid w:val="3EBB85F1"/>
    <w:rsid w:val="4038D06C"/>
    <w:rsid w:val="4366CD4C"/>
    <w:rsid w:val="43E511DF"/>
    <w:rsid w:val="44B45872"/>
    <w:rsid w:val="460E2466"/>
    <w:rsid w:val="464B63BE"/>
    <w:rsid w:val="469008B4"/>
    <w:rsid w:val="474E8E53"/>
    <w:rsid w:val="47F7969E"/>
    <w:rsid w:val="4800DDEE"/>
    <w:rsid w:val="4911BB4B"/>
    <w:rsid w:val="49CFD7D8"/>
    <w:rsid w:val="4A052553"/>
    <w:rsid w:val="4A24D73C"/>
    <w:rsid w:val="4AB9D3BB"/>
    <w:rsid w:val="4C3C011A"/>
    <w:rsid w:val="4E46A52C"/>
    <w:rsid w:val="4ED84C09"/>
    <w:rsid w:val="4F8594E5"/>
    <w:rsid w:val="5093116D"/>
    <w:rsid w:val="52F97FEC"/>
    <w:rsid w:val="53DE0DF8"/>
    <w:rsid w:val="54D227E0"/>
    <w:rsid w:val="55DAD3D7"/>
    <w:rsid w:val="55F64C51"/>
    <w:rsid w:val="576EF44A"/>
    <w:rsid w:val="5783C7DA"/>
    <w:rsid w:val="581CD1C0"/>
    <w:rsid w:val="58393133"/>
    <w:rsid w:val="5908CE47"/>
    <w:rsid w:val="5B8B2224"/>
    <w:rsid w:val="5C671472"/>
    <w:rsid w:val="5E558AC4"/>
    <w:rsid w:val="5F0FDCBD"/>
    <w:rsid w:val="60A093DB"/>
    <w:rsid w:val="60E04046"/>
    <w:rsid w:val="6155FD34"/>
    <w:rsid w:val="6196C944"/>
    <w:rsid w:val="62ADCC36"/>
    <w:rsid w:val="630BC6FA"/>
    <w:rsid w:val="63A6764D"/>
    <w:rsid w:val="63D35AEC"/>
    <w:rsid w:val="64C26F00"/>
    <w:rsid w:val="6647744C"/>
    <w:rsid w:val="66DE170F"/>
    <w:rsid w:val="677D2347"/>
    <w:rsid w:val="67BA90A6"/>
    <w:rsid w:val="691757BE"/>
    <w:rsid w:val="69978DAD"/>
    <w:rsid w:val="6B07808E"/>
    <w:rsid w:val="6B9560E0"/>
    <w:rsid w:val="6BB20DFE"/>
    <w:rsid w:val="6D0649B5"/>
    <w:rsid w:val="6FFD824A"/>
    <w:rsid w:val="71303E20"/>
    <w:rsid w:val="728E6150"/>
    <w:rsid w:val="73417148"/>
    <w:rsid w:val="7497F5C8"/>
    <w:rsid w:val="757B1FA4"/>
    <w:rsid w:val="759E3082"/>
    <w:rsid w:val="76C85269"/>
    <w:rsid w:val="7771D879"/>
    <w:rsid w:val="778C3FFA"/>
    <w:rsid w:val="78287DBE"/>
    <w:rsid w:val="79C44E1F"/>
    <w:rsid w:val="7C8FEF03"/>
    <w:rsid w:val="7F5C6CEE"/>
    <w:rsid w:val="7F6B9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B0CAA7CB-815B-4A23-9609-CC6DEB36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CommentReference">
    <w:name w:val="annotation reference"/>
    <w:basedOn w:val="DefaultParagraphFont"/>
    <w:semiHidden/>
    <w:unhideWhenUsed/>
    <w:rsid w:val="002C08D1"/>
    <w:rPr>
      <w:sz w:val="16"/>
      <w:szCs w:val="16"/>
    </w:rPr>
  </w:style>
  <w:style w:type="paragraph" w:styleId="CommentText">
    <w:name w:val="annotation text"/>
    <w:basedOn w:val="Normal"/>
    <w:link w:val="CommentTextChar"/>
    <w:unhideWhenUsed/>
    <w:rsid w:val="002C08D1"/>
    <w:rPr>
      <w:sz w:val="20"/>
    </w:rPr>
  </w:style>
  <w:style w:type="character" w:customStyle="1" w:styleId="CommentTextChar">
    <w:name w:val="Comment Text Char"/>
    <w:basedOn w:val="DefaultParagraphFont"/>
    <w:link w:val="CommentText"/>
    <w:rsid w:val="002C08D1"/>
    <w:rPr>
      <w:rFonts w:ascii="Arial" w:hAnsi="Arial"/>
      <w:lang w:eastAsia="en-US"/>
    </w:rPr>
  </w:style>
  <w:style w:type="paragraph" w:styleId="CommentSubject">
    <w:name w:val="annotation subject"/>
    <w:basedOn w:val="CommentText"/>
    <w:next w:val="CommentText"/>
    <w:link w:val="CommentSubjectChar"/>
    <w:semiHidden/>
    <w:unhideWhenUsed/>
    <w:rsid w:val="005F6069"/>
    <w:rPr>
      <w:b/>
      <w:bCs/>
    </w:rPr>
  </w:style>
  <w:style w:type="character" w:customStyle="1" w:styleId="CommentSubjectChar">
    <w:name w:val="Comment Subject Char"/>
    <w:basedOn w:val="CommentTextChar"/>
    <w:link w:val="CommentSubject"/>
    <w:semiHidden/>
    <w:rsid w:val="005F6069"/>
    <w:rPr>
      <w:rFonts w:ascii="Arial" w:hAnsi="Arial"/>
      <w:b/>
      <w:bCs/>
      <w:lang w:eastAsia="en-US"/>
    </w:rPr>
  </w:style>
  <w:style w:type="paragraph" w:styleId="Revision">
    <w:name w:val="Revision"/>
    <w:hidden/>
    <w:uiPriority w:val="99"/>
    <w:semiHidden/>
    <w:rsid w:val="009C63F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97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3464363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2802476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14479479">
      <w:bodyDiv w:val="1"/>
      <w:marLeft w:val="0"/>
      <w:marRight w:val="0"/>
      <w:marTop w:val="0"/>
      <w:marBottom w:val="0"/>
      <w:divBdr>
        <w:top w:val="none" w:sz="0" w:space="0" w:color="auto"/>
        <w:left w:val="none" w:sz="0" w:space="0" w:color="auto"/>
        <w:bottom w:val="none" w:sz="0" w:space="0" w:color="auto"/>
        <w:right w:val="none" w:sz="0" w:space="0" w:color="auto"/>
      </w:divBdr>
    </w:div>
    <w:div w:id="664286655">
      <w:bodyDiv w:val="1"/>
      <w:marLeft w:val="0"/>
      <w:marRight w:val="0"/>
      <w:marTop w:val="0"/>
      <w:marBottom w:val="0"/>
      <w:divBdr>
        <w:top w:val="none" w:sz="0" w:space="0" w:color="auto"/>
        <w:left w:val="none" w:sz="0" w:space="0" w:color="auto"/>
        <w:bottom w:val="none" w:sz="0" w:space="0" w:color="auto"/>
        <w:right w:val="none" w:sz="0" w:space="0" w:color="auto"/>
      </w:divBdr>
    </w:div>
    <w:div w:id="73940014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829662470">
      <w:bodyDiv w:val="1"/>
      <w:marLeft w:val="0"/>
      <w:marRight w:val="0"/>
      <w:marTop w:val="0"/>
      <w:marBottom w:val="0"/>
      <w:divBdr>
        <w:top w:val="none" w:sz="0" w:space="0" w:color="auto"/>
        <w:left w:val="none" w:sz="0" w:space="0" w:color="auto"/>
        <w:bottom w:val="none" w:sz="0" w:space="0" w:color="auto"/>
        <w:right w:val="none" w:sz="0" w:space="0" w:color="auto"/>
      </w:divBdr>
    </w:div>
    <w:div w:id="2119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Sklair@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08611908613468149A80BACCFEE23" ma:contentTypeVersion="13" ma:contentTypeDescription="Create a new document." ma:contentTypeScope="" ma:versionID="20794f9d511dd2c288eb90f34cd54503">
  <xsd:schema xmlns:xsd="http://www.w3.org/2001/XMLSchema" xmlns:xs="http://www.w3.org/2001/XMLSchema" xmlns:p="http://schemas.microsoft.com/office/2006/metadata/properties" xmlns:ns2="08d4eba4-850e-4a98-9cbb-b1050021cf07" xmlns:ns3="02de052f-52e1-4488-b0d8-d4dc4a88abfd" targetNamespace="http://schemas.microsoft.com/office/2006/metadata/properties" ma:root="true" ma:fieldsID="b684d28f596e8fdaa7b1c772dd272271" ns2:_="" ns3:_="">
    <xsd:import namespace="08d4eba4-850e-4a98-9cbb-b1050021cf07"/>
    <xsd:import namespace="02de052f-52e1-4488-b0d8-d4dc4a88a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ba4-850e-4a98-9cbb-b105002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e052f-52e1-4488-b0d8-d4dc4a88a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396a39-ca4f-4e3c-ac7c-1ceced741783}" ma:internalName="TaxCatchAll" ma:showField="CatchAllData" ma:web="02de052f-52e1-4488-b0d8-d4dc4a88a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2de052f-52e1-4488-b0d8-d4dc4a88abfd" xsi:nil="true"/>
    <lcf76f155ced4ddcb4097134ff3c332f xmlns="08d4eba4-850e-4a98-9cbb-b1050021cf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4F4E3280-415F-4B2A-9B55-727F3197D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ba4-850e-4a98-9cbb-b1050021cf07"/>
    <ds:schemaRef ds:uri="02de052f-52e1-4488-b0d8-d4dc4a88a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562B3-6921-4427-A98F-46279F43FB9D}">
  <ds:schemaRefs>
    <ds:schemaRef ds:uri="http://schemas.openxmlformats.org/officeDocument/2006/bibliography"/>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02de052f-52e1-4488-b0d8-d4dc4a88abfd"/>
    <ds:schemaRef ds:uri="08d4eba4-850e-4a98-9cbb-b1050021cf07"/>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4097</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17</cp:revision>
  <cp:lastPrinted>2014-10-31T23:34:00Z</cp:lastPrinted>
  <dcterms:created xsi:type="dcterms:W3CDTF">2023-03-02T17:13:00Z</dcterms:created>
  <dcterms:modified xsi:type="dcterms:W3CDTF">2023-03-08T11:41:00Z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